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24346">
      <w:pPr>
        <w:tabs>
          <w:tab w:val="left" w:pos="6521"/>
        </w:tabs>
        <w:spacing w:line="900" w:lineRule="exact"/>
        <w:jc w:val="center"/>
        <w:rPr>
          <w:rFonts w:ascii="Times New Roman" w:hAnsi="Times New Roman" w:eastAsia="宋体" w:cs="Times New Roman"/>
          <w:b/>
          <w:bCs/>
          <w:sz w:val="44"/>
          <w:szCs w:val="44"/>
        </w:rPr>
      </w:pPr>
      <w:bookmarkStart w:id="0" w:name="_Hlk96326159"/>
      <w:bookmarkEnd w:id="0"/>
      <w:bookmarkStart w:id="1" w:name="OLE_LINK8"/>
      <w:bookmarkStart w:id="2" w:name="OLE_LINK15"/>
      <w:bookmarkStart w:id="3" w:name="OLE_LINK48"/>
      <w:bookmarkStart w:id="4" w:name="OLE_LINK49"/>
      <w:bookmarkStart w:id="5" w:name="_Toc527711356"/>
      <w:bookmarkStart w:id="6" w:name="_Toc523382866"/>
      <w:bookmarkStart w:id="7" w:name="_Toc108595215"/>
      <w:bookmarkStart w:id="8" w:name="_Toc93322067"/>
      <w:r>
        <w:rPr>
          <w:rFonts w:ascii="宋体" w:hAnsi="宋体" w:eastAsia="宋体" w:cs="Times New Roman"/>
          <w:b/>
          <w:bCs/>
          <w:sz w:val="44"/>
          <w:szCs w:val="44"/>
        </w:rPr>
        <w:t>新</w:t>
      </w:r>
      <w:r>
        <w:rPr>
          <w:rFonts w:ascii="Times New Roman" w:hAnsi="Times New Roman" w:eastAsia="宋体" w:cs="Times New Roman"/>
          <w:b/>
          <w:bCs/>
          <w:sz w:val="44"/>
          <w:szCs w:val="44"/>
        </w:rPr>
        <w:t xml:space="preserve"> </w:t>
      </w:r>
      <w:r>
        <w:rPr>
          <w:rFonts w:ascii="宋体" w:hAnsi="宋体" w:eastAsia="宋体" w:cs="Times New Roman"/>
          <w:b/>
          <w:bCs/>
          <w:sz w:val="44"/>
          <w:szCs w:val="44"/>
        </w:rPr>
        <w:t>建</w:t>
      </w:r>
      <w:r>
        <w:rPr>
          <w:rFonts w:ascii="Times New Roman" w:hAnsi="Times New Roman" w:eastAsia="宋体" w:cs="Times New Roman"/>
          <w:b/>
          <w:bCs/>
          <w:sz w:val="44"/>
          <w:szCs w:val="44"/>
        </w:rPr>
        <w:t xml:space="preserve"> </w:t>
      </w:r>
      <w:r>
        <w:rPr>
          <w:rFonts w:ascii="宋体" w:hAnsi="宋体" w:eastAsia="宋体" w:cs="Times New Roman"/>
          <w:b/>
          <w:bCs/>
          <w:sz w:val="44"/>
          <w:szCs w:val="44"/>
        </w:rPr>
        <w:t>铁</w:t>
      </w:r>
      <w:r>
        <w:rPr>
          <w:rFonts w:ascii="Times New Roman" w:hAnsi="Times New Roman" w:eastAsia="宋体" w:cs="Times New Roman"/>
          <w:b/>
          <w:bCs/>
          <w:sz w:val="44"/>
          <w:szCs w:val="44"/>
        </w:rPr>
        <w:t xml:space="preserve"> </w:t>
      </w:r>
      <w:r>
        <w:rPr>
          <w:rFonts w:ascii="宋体" w:hAnsi="宋体" w:eastAsia="宋体" w:cs="Times New Roman"/>
          <w:b/>
          <w:bCs/>
          <w:sz w:val="44"/>
          <w:szCs w:val="44"/>
        </w:rPr>
        <w:t>路</w:t>
      </w:r>
    </w:p>
    <w:bookmarkEnd w:id="1"/>
    <w:bookmarkEnd w:id="2"/>
    <w:p w14:paraId="6D9956AC">
      <w:pPr>
        <w:spacing w:line="900" w:lineRule="exact"/>
        <w:jc w:val="center"/>
        <w:rPr>
          <w:rFonts w:ascii="Times New Roman" w:hAnsi="Times New Roman" w:eastAsia="黑体" w:cs="Times New Roman"/>
          <w:bCs/>
          <w:sz w:val="48"/>
          <w:szCs w:val="48"/>
        </w:rPr>
      </w:pPr>
      <w:bookmarkStart w:id="9" w:name="OLE_LINK17"/>
      <w:bookmarkStart w:id="10" w:name="OLE_LINK16"/>
      <w:r>
        <w:rPr>
          <w:rFonts w:ascii="黑体" w:hAnsi="黑体" w:eastAsia="黑体" w:cs="Times New Roman"/>
          <w:bCs/>
          <w:sz w:val="48"/>
          <w:szCs w:val="48"/>
        </w:rPr>
        <w:t>靖远煤业集团刘化化工有限公司</w:t>
      </w:r>
    </w:p>
    <w:bookmarkEnd w:id="9"/>
    <w:bookmarkEnd w:id="10"/>
    <w:p w14:paraId="12A93CC7">
      <w:pPr>
        <w:spacing w:line="900" w:lineRule="exact"/>
        <w:jc w:val="center"/>
        <w:rPr>
          <w:rFonts w:ascii="Times New Roman" w:hAnsi="Times New Roman" w:eastAsia="黑体" w:cs="Times New Roman"/>
          <w:bCs/>
          <w:sz w:val="48"/>
          <w:szCs w:val="48"/>
        </w:rPr>
      </w:pPr>
      <w:r>
        <w:rPr>
          <w:rFonts w:ascii="黑体" w:hAnsi="黑体" w:eastAsia="黑体" w:cs="Times New Roman"/>
          <w:bCs/>
          <w:sz w:val="48"/>
          <w:szCs w:val="48"/>
        </w:rPr>
        <w:t>铁路专用线</w:t>
      </w:r>
    </w:p>
    <w:bookmarkEnd w:id="3"/>
    <w:bookmarkEnd w:id="4"/>
    <w:p w14:paraId="514626D0">
      <w:pPr>
        <w:spacing w:line="900" w:lineRule="exact"/>
        <w:jc w:val="center"/>
        <w:rPr>
          <w:rFonts w:ascii="Times New Roman" w:hAnsi="Times New Roman" w:eastAsia="华文中宋" w:cs="Times New Roman"/>
          <w:spacing w:val="20"/>
          <w:sz w:val="36"/>
          <w:szCs w:val="36"/>
        </w:rPr>
      </w:pPr>
      <w:r>
        <w:rPr>
          <w:rFonts w:hint="eastAsia" w:ascii="Times New Roman" w:hAnsi="Times New Roman" w:eastAsia="华文中宋" w:cs="Times New Roman"/>
          <w:spacing w:val="20"/>
          <w:sz w:val="36"/>
          <w:szCs w:val="36"/>
        </w:rPr>
        <w:t>施工图</w:t>
      </w:r>
    </w:p>
    <w:p w14:paraId="6A95AA4A">
      <w:pPr>
        <w:spacing w:line="900" w:lineRule="exact"/>
        <w:jc w:val="center"/>
        <w:rPr>
          <w:rFonts w:ascii="Times New Roman" w:hAnsi="Times New Roman" w:eastAsia="宋体" w:cs="Times New Roman"/>
          <w:b/>
          <w:bCs/>
          <w:color w:val="0D0D0D"/>
          <w:spacing w:val="20"/>
          <w:sz w:val="36"/>
          <w:szCs w:val="36"/>
        </w:rPr>
      </w:pPr>
    </w:p>
    <w:p w14:paraId="3B06ACD5">
      <w:pPr>
        <w:spacing w:line="900" w:lineRule="exact"/>
        <w:jc w:val="center"/>
        <w:rPr>
          <w:rFonts w:ascii="Times New Roman" w:hAnsi="Times New Roman" w:eastAsia="宋体" w:cs="Times New Roman"/>
          <w:b/>
          <w:bCs/>
          <w:color w:val="0D0D0D"/>
          <w:spacing w:val="20"/>
          <w:sz w:val="36"/>
          <w:szCs w:val="36"/>
        </w:rPr>
      </w:pPr>
      <w:r>
        <w:rPr>
          <w:rFonts w:ascii="Times New Roman" w:hAnsi="Times New Roman" w:eastAsia="宋体" w:cs="Times New Roman"/>
          <w:b/>
          <w:bCs/>
          <w:color w:val="0D0D0D"/>
          <w:spacing w:val="20"/>
          <w:sz w:val="36"/>
          <w:szCs w:val="36"/>
        </w:rPr>
        <w:t xml:space="preserve"> </w:t>
      </w:r>
    </w:p>
    <w:p w14:paraId="73628357">
      <w:pPr>
        <w:spacing w:line="900" w:lineRule="exact"/>
        <w:jc w:val="center"/>
        <w:rPr>
          <w:rFonts w:hint="eastAsia" w:ascii="Times New Roman" w:hAnsi="Times New Roman" w:eastAsia="华文中宋" w:cs="Times New Roman"/>
          <w:spacing w:val="20"/>
          <w:sz w:val="72"/>
          <w:szCs w:val="72"/>
          <w:lang w:eastAsia="zh-CN"/>
        </w:rPr>
      </w:pPr>
      <w:r>
        <w:rPr>
          <w:rFonts w:ascii="华文中宋" w:hAnsi="华文中宋" w:eastAsia="华文中宋" w:cs="Times New Roman"/>
          <w:spacing w:val="20"/>
          <w:sz w:val="72"/>
          <w:szCs w:val="72"/>
        </w:rPr>
        <w:t>总</w:t>
      </w:r>
      <w:r>
        <w:rPr>
          <w:rFonts w:ascii="Times New Roman" w:hAnsi="Times New Roman" w:eastAsia="华文中宋" w:cs="Times New Roman"/>
          <w:spacing w:val="20"/>
          <w:sz w:val="72"/>
          <w:szCs w:val="72"/>
        </w:rPr>
        <w:t xml:space="preserve"> </w:t>
      </w:r>
      <w:r>
        <w:rPr>
          <w:rFonts w:hint="eastAsia" w:ascii="华文中宋" w:hAnsi="华文中宋" w:eastAsia="华文中宋" w:cs="Times New Roman"/>
          <w:spacing w:val="20"/>
          <w:sz w:val="72"/>
          <w:szCs w:val="72"/>
          <w:lang w:val="en-US" w:eastAsia="zh-CN"/>
        </w:rPr>
        <w:t>预 算</w:t>
      </w:r>
    </w:p>
    <w:p w14:paraId="34C71349">
      <w:pPr>
        <w:spacing w:line="900" w:lineRule="exact"/>
        <w:jc w:val="center"/>
        <w:rPr>
          <w:rFonts w:ascii="Times New Roman" w:hAnsi="Times New Roman" w:eastAsia="宋体" w:cs="Times New Roman"/>
          <w:b/>
          <w:sz w:val="36"/>
          <w:szCs w:val="36"/>
        </w:rPr>
      </w:pPr>
      <w:r>
        <w:rPr>
          <w:rFonts w:ascii="宋体" w:hAnsi="宋体" w:eastAsia="宋体" w:cs="Times New Roman"/>
          <w:b/>
          <w:sz w:val="36"/>
          <w:szCs w:val="36"/>
        </w:rPr>
        <w:t>（送审稿）</w:t>
      </w:r>
    </w:p>
    <w:p w14:paraId="19595ECD">
      <w:pPr>
        <w:tabs>
          <w:tab w:val="left" w:pos="3591"/>
          <w:tab w:val="left" w:pos="4340"/>
          <w:tab w:val="left" w:pos="4620"/>
        </w:tabs>
        <w:snapToGrid w:val="0"/>
        <w:spacing w:line="360" w:lineRule="exact"/>
        <w:jc w:val="center"/>
        <w:rPr>
          <w:rFonts w:ascii="Times New Roman" w:hAnsi="Times New Roman" w:eastAsia="宋体" w:cs="Times New Roman"/>
          <w:bCs/>
          <w:color w:val="0D0D0D"/>
          <w:sz w:val="36"/>
          <w:szCs w:val="36"/>
        </w:rPr>
      </w:pPr>
      <w:r>
        <w:rPr>
          <w:rFonts w:ascii="Times New Roman" w:hAnsi="Times New Roman" w:eastAsia="宋体" w:cs="Times New Roman"/>
          <w:bCs/>
          <w:color w:val="0D0D0D"/>
          <w:sz w:val="36"/>
          <w:szCs w:val="36"/>
        </w:rPr>
        <w:t xml:space="preserve"> </w:t>
      </w:r>
    </w:p>
    <w:p w14:paraId="31F27A1F">
      <w:pPr>
        <w:tabs>
          <w:tab w:val="left" w:pos="3591"/>
          <w:tab w:val="left" w:pos="4340"/>
          <w:tab w:val="left" w:pos="4620"/>
        </w:tabs>
        <w:snapToGrid w:val="0"/>
        <w:spacing w:line="360" w:lineRule="exact"/>
        <w:jc w:val="center"/>
        <w:rPr>
          <w:rFonts w:ascii="Times New Roman" w:hAnsi="Times New Roman" w:eastAsia="宋体" w:cs="Times New Roman"/>
          <w:bCs/>
          <w:color w:val="0D0D0D"/>
          <w:sz w:val="36"/>
          <w:szCs w:val="36"/>
        </w:rPr>
      </w:pPr>
    </w:p>
    <w:p w14:paraId="391407D1">
      <w:pPr>
        <w:tabs>
          <w:tab w:val="left" w:pos="3591"/>
          <w:tab w:val="left" w:pos="4340"/>
          <w:tab w:val="left" w:pos="4620"/>
        </w:tabs>
        <w:snapToGrid w:val="0"/>
        <w:spacing w:line="360" w:lineRule="exact"/>
        <w:jc w:val="center"/>
        <w:rPr>
          <w:rFonts w:ascii="Times New Roman" w:hAnsi="Times New Roman" w:eastAsia="宋体" w:cs="Times New Roman"/>
          <w:bCs/>
          <w:color w:val="0D0D0D"/>
          <w:sz w:val="36"/>
          <w:szCs w:val="36"/>
        </w:rPr>
      </w:pPr>
      <w:r>
        <w:rPr>
          <w:rFonts w:ascii="Times New Roman" w:hAnsi="Times New Roman" w:eastAsia="宋体" w:cs="Times New Roman"/>
          <w:bCs/>
          <w:color w:val="0D0D0D"/>
          <w:sz w:val="36"/>
          <w:szCs w:val="36"/>
        </w:rPr>
        <w:t xml:space="preserve"> </w:t>
      </w:r>
    </w:p>
    <w:p w14:paraId="756C6347">
      <w:pPr>
        <w:tabs>
          <w:tab w:val="left" w:pos="3591"/>
          <w:tab w:val="left" w:pos="4340"/>
          <w:tab w:val="left" w:pos="4620"/>
        </w:tabs>
        <w:snapToGrid w:val="0"/>
        <w:spacing w:line="360" w:lineRule="exact"/>
        <w:jc w:val="center"/>
        <w:rPr>
          <w:rFonts w:ascii="Times New Roman" w:hAnsi="Times New Roman" w:eastAsia="宋体" w:cs="Times New Roman"/>
          <w:bCs/>
          <w:color w:val="0D0D0D"/>
          <w:sz w:val="36"/>
          <w:szCs w:val="36"/>
        </w:rPr>
      </w:pPr>
      <w:r>
        <w:rPr>
          <w:rFonts w:ascii="Times New Roman" w:hAnsi="Times New Roman" w:eastAsia="宋体" w:cs="Times New Roman"/>
          <w:bCs/>
          <w:color w:val="0D0D0D"/>
          <w:sz w:val="36"/>
          <w:szCs w:val="36"/>
        </w:rPr>
        <w:t xml:space="preserve"> </w:t>
      </w:r>
    </w:p>
    <w:p w14:paraId="65B7A4B5">
      <w:pPr>
        <w:tabs>
          <w:tab w:val="left" w:pos="3591"/>
          <w:tab w:val="left" w:pos="4340"/>
          <w:tab w:val="left" w:pos="4620"/>
        </w:tabs>
        <w:snapToGrid w:val="0"/>
        <w:spacing w:line="360" w:lineRule="exact"/>
        <w:jc w:val="center"/>
        <w:rPr>
          <w:rFonts w:ascii="Times New Roman" w:hAnsi="Times New Roman" w:eastAsia="宋体" w:cs="Times New Roman"/>
          <w:bCs/>
          <w:color w:val="0D0D0D"/>
          <w:sz w:val="36"/>
          <w:szCs w:val="36"/>
        </w:rPr>
      </w:pPr>
      <w:r>
        <w:rPr>
          <w:rFonts w:ascii="Times New Roman" w:hAnsi="Times New Roman" w:eastAsia="宋体" w:cs="Times New Roman"/>
          <w:bCs/>
          <w:color w:val="0D0D0D"/>
          <w:sz w:val="36"/>
          <w:szCs w:val="36"/>
        </w:rPr>
        <w:t xml:space="preserve"> </w:t>
      </w:r>
    </w:p>
    <w:p w14:paraId="705ACC44">
      <w:pPr>
        <w:tabs>
          <w:tab w:val="left" w:pos="3591"/>
          <w:tab w:val="left" w:pos="4340"/>
          <w:tab w:val="left" w:pos="4620"/>
        </w:tabs>
        <w:snapToGrid w:val="0"/>
        <w:spacing w:line="360" w:lineRule="exact"/>
        <w:jc w:val="center"/>
        <w:rPr>
          <w:rFonts w:ascii="Times New Roman" w:hAnsi="Times New Roman" w:eastAsia="宋体" w:cs="Times New Roman"/>
          <w:bCs/>
          <w:color w:val="0D0D0D"/>
          <w:sz w:val="36"/>
          <w:szCs w:val="36"/>
        </w:rPr>
      </w:pPr>
      <w:r>
        <w:rPr>
          <w:rFonts w:ascii="Times New Roman" w:hAnsi="Times New Roman" w:eastAsia="宋体" w:cs="Times New Roman"/>
          <w:bCs/>
          <w:color w:val="0D0D0D"/>
          <w:sz w:val="36"/>
          <w:szCs w:val="36"/>
        </w:rPr>
        <w:t xml:space="preserve"> </w:t>
      </w:r>
    </w:p>
    <w:p w14:paraId="0BB80982">
      <w:pPr>
        <w:snapToGrid w:val="0"/>
        <w:spacing w:line="480" w:lineRule="auto"/>
        <w:jc w:val="center"/>
        <w:rPr>
          <w:rFonts w:ascii="Times New Roman" w:hAnsi="Times New Roman" w:eastAsia="宋体" w:cs="Times New Roman"/>
          <w:b/>
          <w:bCs/>
          <w:color w:val="0D0D0D"/>
          <w:sz w:val="36"/>
          <w:szCs w:val="36"/>
        </w:rPr>
      </w:pPr>
      <w:r>
        <w:rPr>
          <w:rFonts w:ascii="Times New Roman" w:hAnsi="Times New Roman" w:eastAsia="宋体" w:cs="Times New Roman"/>
          <w:b/>
          <w:bCs/>
          <w:color w:val="0D0D0D"/>
          <w:sz w:val="36"/>
          <w:szCs w:val="36"/>
        </w:rPr>
        <w:t xml:space="preserve"> </w:t>
      </w:r>
    </w:p>
    <w:p w14:paraId="4EFE4CCA">
      <w:pPr>
        <w:snapToGrid w:val="0"/>
        <w:spacing w:line="480" w:lineRule="auto"/>
        <w:jc w:val="center"/>
        <w:rPr>
          <w:rFonts w:ascii="Times New Roman" w:hAnsi="Times New Roman" w:eastAsia="宋体" w:cs="Times New Roman"/>
          <w:b/>
          <w:bCs/>
          <w:color w:val="0D0D0D"/>
          <w:sz w:val="36"/>
          <w:szCs w:val="36"/>
        </w:rPr>
      </w:pPr>
      <w:r>
        <w:rPr>
          <w:rFonts w:ascii="Times New Roman" w:hAnsi="Times New Roman" w:eastAsia="宋体" w:cs="Times New Roman"/>
          <w:b/>
          <w:bCs/>
          <w:color w:val="0D0D0D"/>
          <w:sz w:val="36"/>
          <w:szCs w:val="36"/>
        </w:rPr>
        <w:t xml:space="preserve"> </w:t>
      </w:r>
    </w:p>
    <w:p w14:paraId="5653A130">
      <w:pPr>
        <w:jc w:val="center"/>
        <w:rPr>
          <w:rFonts w:ascii="Times New Roman" w:hAnsi="Times New Roman" w:eastAsia="宋体" w:cs="Times New Roman"/>
          <w:b/>
          <w:kern w:val="28"/>
          <w:sz w:val="32"/>
          <w:szCs w:val="32"/>
        </w:rPr>
      </w:pPr>
      <w:r>
        <w:rPr>
          <w:rFonts w:ascii="宋体" w:hAnsi="宋体" w:eastAsia="宋体" w:cs="Times New Roman"/>
          <w:b/>
          <w:kern w:val="28"/>
          <w:sz w:val="32"/>
          <w:szCs w:val="32"/>
        </w:rPr>
        <w:t>兰州铁道设计院有限公司</w:t>
      </w:r>
    </w:p>
    <w:p w14:paraId="449DB1A0">
      <w:pPr>
        <w:spacing w:line="460" w:lineRule="exact"/>
        <w:jc w:val="center"/>
        <w:rPr>
          <w:rFonts w:ascii="Times New Roman" w:hAnsi="Times New Roman" w:eastAsia="宋体" w:cs="Times New Roman"/>
          <w:sz w:val="28"/>
          <w:szCs w:val="28"/>
        </w:rPr>
      </w:pPr>
      <w:r>
        <w:rPr>
          <w:rFonts w:ascii="宋体" w:hAnsi="宋体" w:eastAsia="宋体" w:cs="Times New Roman"/>
          <w:sz w:val="28"/>
          <w:szCs w:val="28"/>
        </w:rPr>
        <w:t>工程勘察证书</w:t>
      </w:r>
      <w:r>
        <w:rPr>
          <w:rFonts w:ascii="Times New Roman" w:hAnsi="Times New Roman" w:eastAsia="宋体" w:cs="Times New Roman"/>
          <w:sz w:val="28"/>
          <w:szCs w:val="28"/>
        </w:rPr>
        <w:t xml:space="preserve"> </w:t>
      </w:r>
      <w:r>
        <w:rPr>
          <w:rFonts w:ascii="宋体" w:hAnsi="宋体" w:eastAsia="宋体" w:cs="Times New Roman"/>
          <w:sz w:val="28"/>
          <w:szCs w:val="28"/>
        </w:rPr>
        <w:t>铁道行业甲（</w:t>
      </w:r>
      <w:r>
        <w:rPr>
          <w:rFonts w:ascii="Times New Roman" w:hAnsi="Times New Roman" w:eastAsia="宋体" w:cs="Times New Roman"/>
          <w:sz w:val="28"/>
          <w:szCs w:val="28"/>
        </w:rPr>
        <w:t>Ⅱ</w:t>
      </w:r>
      <w:r>
        <w:rPr>
          <w:rFonts w:ascii="宋体" w:hAnsi="宋体" w:eastAsia="宋体" w:cs="Times New Roman"/>
          <w:sz w:val="28"/>
          <w:szCs w:val="28"/>
        </w:rPr>
        <w:t>）级</w:t>
      </w:r>
      <w:r>
        <w:rPr>
          <w:rFonts w:ascii="Times New Roman" w:hAnsi="Times New Roman" w:eastAsia="宋体" w:cs="Times New Roman"/>
          <w:sz w:val="28"/>
          <w:szCs w:val="28"/>
        </w:rPr>
        <w:t xml:space="preserve"> A162002021</w:t>
      </w:r>
    </w:p>
    <w:p w14:paraId="23078F1B">
      <w:pPr>
        <w:spacing w:line="460" w:lineRule="exact"/>
        <w:jc w:val="center"/>
        <w:rPr>
          <w:rFonts w:ascii="Times New Roman" w:hAnsi="Times New Roman" w:eastAsia="宋体" w:cs="Times New Roman"/>
          <w:sz w:val="28"/>
          <w:szCs w:val="28"/>
        </w:rPr>
      </w:pPr>
      <w:r>
        <w:rPr>
          <w:rFonts w:ascii="宋体" w:hAnsi="宋体" w:eastAsia="宋体" w:cs="Times New Roman"/>
          <w:sz w:val="28"/>
          <w:szCs w:val="28"/>
        </w:rPr>
        <w:t>工程设计证书</w:t>
      </w:r>
      <w:r>
        <w:rPr>
          <w:rFonts w:ascii="Times New Roman" w:hAnsi="Times New Roman" w:eastAsia="宋体" w:cs="Times New Roman"/>
          <w:sz w:val="28"/>
          <w:szCs w:val="28"/>
        </w:rPr>
        <w:t xml:space="preserve"> </w:t>
      </w:r>
      <w:r>
        <w:rPr>
          <w:rFonts w:ascii="宋体" w:hAnsi="宋体" w:eastAsia="宋体" w:cs="Times New Roman"/>
          <w:sz w:val="28"/>
          <w:szCs w:val="28"/>
        </w:rPr>
        <w:t>工程勘察专业类甲级</w:t>
      </w:r>
      <w:r>
        <w:rPr>
          <w:rFonts w:ascii="Times New Roman" w:hAnsi="Times New Roman" w:eastAsia="宋体" w:cs="Times New Roman"/>
          <w:sz w:val="28"/>
          <w:szCs w:val="28"/>
        </w:rPr>
        <w:t xml:space="preserve"> B162002021</w:t>
      </w:r>
    </w:p>
    <w:p w14:paraId="0793FED5">
      <w:pPr>
        <w:jc w:val="center"/>
        <w:rPr>
          <w:rFonts w:ascii="Times New Roman" w:hAnsi="Times New Roman" w:eastAsia="宋体" w:cs="Times New Roman"/>
          <w:b/>
          <w:color w:val="0D0D0D"/>
          <w:kern w:val="28"/>
          <w:sz w:val="30"/>
          <w:szCs w:val="30"/>
        </w:rPr>
      </w:pPr>
      <w:r>
        <w:rPr>
          <w:rFonts w:ascii="Times New Roman" w:hAnsi="Times New Roman" w:eastAsia="宋体" w:cs="Times New Roman"/>
          <w:b/>
          <w:color w:val="0D0D0D"/>
          <w:kern w:val="28"/>
          <w:sz w:val="30"/>
          <w:szCs w:val="30"/>
        </w:rPr>
        <w:t>2026</w:t>
      </w:r>
      <w:r>
        <w:rPr>
          <w:rFonts w:ascii="宋体" w:hAnsi="宋体" w:eastAsia="宋体" w:cs="Times New Roman"/>
          <w:b/>
          <w:color w:val="0D0D0D"/>
          <w:kern w:val="28"/>
          <w:sz w:val="30"/>
          <w:szCs w:val="30"/>
        </w:rPr>
        <w:t>年</w:t>
      </w:r>
      <w:r>
        <w:rPr>
          <w:rFonts w:ascii="Times New Roman" w:hAnsi="Times New Roman" w:eastAsia="宋体" w:cs="Times New Roman"/>
          <w:b/>
          <w:color w:val="0D0D0D"/>
          <w:kern w:val="28"/>
          <w:sz w:val="30"/>
          <w:szCs w:val="30"/>
        </w:rPr>
        <w:t>4</w:t>
      </w:r>
      <w:r>
        <w:rPr>
          <w:rFonts w:ascii="宋体" w:hAnsi="宋体" w:eastAsia="宋体" w:cs="Times New Roman"/>
          <w:b/>
          <w:color w:val="0D0D0D"/>
          <w:kern w:val="28"/>
          <w:sz w:val="30"/>
          <w:szCs w:val="30"/>
        </w:rPr>
        <w:t>月  兰州</w:t>
      </w:r>
    </w:p>
    <w:p w14:paraId="061EE229">
      <w:pPr>
        <w:adjustRightInd w:val="0"/>
        <w:snapToGrid w:val="0"/>
        <w:spacing w:line="360" w:lineRule="auto"/>
        <w:ind w:left="0" w:leftChars="0" w:firstLine="0" w:firstLineChars="0"/>
        <w:jc w:val="center"/>
        <w:rPr>
          <w:rFonts w:hint="eastAsia" w:ascii="宋体" w:hAnsi="宋体" w:eastAsia="宋体" w:cs="宋体"/>
          <w:b/>
          <w:sz w:val="28"/>
          <w:szCs w:val="28"/>
          <w:highlight w:val="none"/>
          <w:lang w:val="en-US" w:eastAsia="zh-CN"/>
        </w:rPr>
        <w:sectPr>
          <w:footerReference r:id="rId4" w:type="first"/>
          <w:headerReference r:id="rId3" w:type="default"/>
          <w:pgSz w:w="11906" w:h="16838"/>
          <w:pgMar w:top="1440" w:right="1800" w:bottom="1440" w:left="1800" w:header="851" w:footer="992" w:gutter="0"/>
          <w:pgNumType w:fmt="numberInDash" w:start="1"/>
          <w:cols w:space="425" w:num="1"/>
          <w:titlePg/>
          <w:docGrid w:type="lines" w:linePitch="312" w:charSpace="0"/>
        </w:sectPr>
      </w:pPr>
    </w:p>
    <w:p w14:paraId="0FB7F3B2">
      <w:pPr>
        <w:adjustRightInd w:val="0"/>
        <w:snapToGrid w:val="0"/>
        <w:spacing w:line="360" w:lineRule="auto"/>
        <w:ind w:left="0" w:leftChars="0" w:firstLine="0" w:firstLineChars="0"/>
        <w:jc w:val="center"/>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lang w:val="en-US" w:eastAsia="zh-CN"/>
        </w:rPr>
        <w:t>总 预 算</w:t>
      </w:r>
    </w:p>
    <w:p w14:paraId="6985DC90">
      <w:pPr>
        <w:keepNext/>
        <w:keepLines/>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1"/>
        <w:rPr>
          <w:rFonts w:hint="eastAsia" w:ascii="宋体" w:hAnsi="宋体" w:eastAsia="宋体" w:cs="宋体"/>
          <w:b/>
          <w:bCs/>
          <w:color w:val="000000"/>
          <w:kern w:val="2"/>
          <w:sz w:val="28"/>
          <w:szCs w:val="28"/>
          <w:highlight w:val="none"/>
          <w:lang w:val="en-US" w:eastAsia="zh-CN" w:bidi="ar-SA"/>
        </w:rPr>
      </w:pPr>
      <w:r>
        <w:rPr>
          <w:rFonts w:hint="eastAsia" w:ascii="宋体" w:hAnsi="宋体" w:eastAsia="宋体" w:cs="宋体"/>
          <w:b/>
          <w:bCs/>
          <w:color w:val="000000"/>
          <w:kern w:val="2"/>
          <w:sz w:val="28"/>
          <w:szCs w:val="28"/>
          <w:highlight w:val="none"/>
          <w:lang w:val="en-US" w:eastAsia="zh-CN" w:bidi="ar-SA"/>
        </w:rPr>
        <w:t>一、概述</w:t>
      </w:r>
    </w:p>
    <w:p w14:paraId="473D6038">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rPr>
        <w:t>（一）</w:t>
      </w:r>
      <w:r>
        <w:rPr>
          <w:rFonts w:hint="eastAsia" w:ascii="宋体" w:hAnsi="宋体" w:eastAsia="宋体" w:cs="宋体"/>
          <w:color w:val="000000"/>
          <w:sz w:val="28"/>
          <w:szCs w:val="28"/>
          <w:highlight w:val="none"/>
          <w:lang w:val="en-US" w:eastAsia="zh-CN"/>
        </w:rPr>
        <w:t>设计依据及范围</w:t>
      </w:r>
    </w:p>
    <w:p w14:paraId="25108F9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2025年7月，靖远煤电清洁高效气化气综合利用（搬迁改造）项目配套铁路接发站勘察设计中标通知书。</w:t>
      </w:r>
    </w:p>
    <w:p w14:paraId="56BEFDE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2026年3月，中国铁路兰州局集团有限公司《兰州局集团公司关于靖远煤业集团刘化化工有限公司铁路专用线在红会线白银市站与国铁接轨意见的函》（兰铁计统函【2026】101号）。</w:t>
      </w:r>
    </w:p>
    <w:p w14:paraId="56D2889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2026年3月，中国铁路兰州局集团有限公司《兰州局集团公司关于靖远煤业集团刘化化工有限公司铁路专用线可行性设计技术审查意见的函》（兰铁计统函【2026】105号）。</w:t>
      </w:r>
    </w:p>
    <w:p w14:paraId="62C3B204">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default"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rPr>
        <w:t>（</w:t>
      </w:r>
      <w:r>
        <w:rPr>
          <w:rFonts w:hint="eastAsia" w:ascii="宋体" w:hAnsi="宋体" w:eastAsia="宋体" w:cs="宋体"/>
          <w:color w:val="000000"/>
          <w:sz w:val="28"/>
          <w:szCs w:val="28"/>
          <w:highlight w:val="none"/>
          <w:lang w:val="en-US" w:eastAsia="zh-CN"/>
        </w:rPr>
        <w:t>二</w:t>
      </w:r>
      <w:r>
        <w:rPr>
          <w:rFonts w:hint="eastAsia" w:ascii="宋体" w:hAnsi="宋体" w:eastAsia="宋体" w:cs="宋体"/>
          <w:color w:val="000000"/>
          <w:sz w:val="28"/>
          <w:szCs w:val="28"/>
          <w:highlight w:val="none"/>
        </w:rPr>
        <w:t>）</w:t>
      </w:r>
      <w:r>
        <w:rPr>
          <w:rFonts w:hint="eastAsia" w:ascii="宋体" w:hAnsi="宋体" w:eastAsia="宋体" w:cs="宋体"/>
          <w:color w:val="000000"/>
          <w:sz w:val="28"/>
          <w:szCs w:val="28"/>
          <w:highlight w:val="none"/>
          <w:lang w:val="en-US" w:eastAsia="zh-CN"/>
        </w:rPr>
        <w:t>编制范围</w:t>
      </w:r>
    </w:p>
    <w:p w14:paraId="0CDEF20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本项目为靖远煤业集团刘化化工有限公司铁路专用线，线路铺轨长度3.105km，包含征拆、路基、桥涵、轨道、通信、电力、房屋、其他运营设备及建筑物、大型临时设施等工程。</w:t>
      </w:r>
    </w:p>
    <w:p w14:paraId="3422BA62">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w:t>
      </w:r>
      <w:r>
        <w:rPr>
          <w:rFonts w:hint="eastAsia" w:ascii="宋体" w:hAnsi="宋体" w:eastAsia="宋体" w:cs="宋体"/>
          <w:color w:val="000000"/>
          <w:sz w:val="28"/>
          <w:szCs w:val="28"/>
          <w:highlight w:val="none"/>
          <w:lang w:val="en-US" w:eastAsia="zh-CN"/>
        </w:rPr>
        <w:t>三</w:t>
      </w:r>
      <w:r>
        <w:rPr>
          <w:rFonts w:hint="eastAsia" w:ascii="宋体" w:hAnsi="宋体" w:eastAsia="宋体" w:cs="宋体"/>
          <w:color w:val="000000"/>
          <w:sz w:val="28"/>
          <w:szCs w:val="28"/>
          <w:highlight w:val="none"/>
        </w:rPr>
        <w:t>）</w:t>
      </w:r>
      <w:bookmarkEnd w:id="5"/>
      <w:bookmarkEnd w:id="6"/>
      <w:bookmarkStart w:id="11" w:name="_Toc46872340"/>
      <w:bookmarkStart w:id="12" w:name="_Toc527712079"/>
      <w:r>
        <w:rPr>
          <w:rFonts w:hint="eastAsia" w:ascii="宋体" w:hAnsi="宋体" w:eastAsia="宋体" w:cs="宋体"/>
          <w:color w:val="000000"/>
          <w:sz w:val="28"/>
          <w:szCs w:val="28"/>
          <w:highlight w:val="none"/>
          <w:lang w:eastAsia="zh-CN"/>
        </w:rPr>
        <w:t>预算</w:t>
      </w:r>
      <w:r>
        <w:rPr>
          <w:rFonts w:hint="eastAsia" w:ascii="宋体" w:hAnsi="宋体" w:eastAsia="宋体" w:cs="宋体"/>
          <w:color w:val="000000"/>
          <w:sz w:val="28"/>
          <w:szCs w:val="28"/>
          <w:highlight w:val="none"/>
        </w:rPr>
        <w:t>分段</w:t>
      </w:r>
      <w:bookmarkEnd w:id="7"/>
      <w:bookmarkEnd w:id="8"/>
    </w:p>
    <w:bookmarkEnd w:id="11"/>
    <w:bookmarkEnd w:id="12"/>
    <w:p w14:paraId="67B5611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eastAsia="宋体" w:cs="Times New Roman"/>
          <w:sz w:val="28"/>
          <w:szCs w:val="28"/>
          <w:lang w:val="en-US" w:eastAsia="zh-CN"/>
        </w:rPr>
      </w:pPr>
      <w:bookmarkStart w:id="13" w:name="_Toc48224430"/>
      <w:bookmarkStart w:id="14" w:name="_Toc47989597"/>
      <w:bookmarkStart w:id="15" w:name="_Toc46872341"/>
      <w:bookmarkStart w:id="16" w:name="_Toc527712080"/>
      <w:r>
        <w:rPr>
          <w:rFonts w:hint="eastAsia" w:ascii="Times New Roman" w:hAnsi="Times New Roman" w:eastAsia="宋体" w:cs="Times New Roman"/>
          <w:sz w:val="28"/>
          <w:szCs w:val="28"/>
          <w:lang w:val="en-US" w:eastAsia="zh-CN"/>
        </w:rPr>
        <w:t>本项目按1个预算段落：ZGS_01：靖远煤业集团刘化化工有限公司铁路专用线。</w:t>
      </w:r>
    </w:p>
    <w:p w14:paraId="084910E2">
      <w:pPr>
        <w:keepNext/>
        <w:keepLines/>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1"/>
        <w:rPr>
          <w:rFonts w:hint="eastAsia" w:ascii="宋体" w:hAnsi="宋体" w:eastAsia="宋体" w:cs="宋体"/>
          <w:b/>
          <w:bCs/>
          <w:color w:val="000000"/>
          <w:kern w:val="2"/>
          <w:sz w:val="28"/>
          <w:szCs w:val="28"/>
          <w:highlight w:val="none"/>
          <w:lang w:val="en-US" w:eastAsia="zh-CN" w:bidi="ar-SA"/>
        </w:rPr>
      </w:pPr>
      <w:bookmarkStart w:id="17" w:name="_Toc108595216"/>
      <w:bookmarkStart w:id="18" w:name="_Toc93322068"/>
      <w:r>
        <w:rPr>
          <w:rFonts w:hint="eastAsia" w:ascii="宋体" w:hAnsi="宋体" w:eastAsia="宋体" w:cs="宋体"/>
          <w:b/>
          <w:bCs/>
          <w:color w:val="000000"/>
          <w:kern w:val="2"/>
          <w:sz w:val="28"/>
          <w:szCs w:val="28"/>
          <w:highlight w:val="none"/>
          <w:lang w:val="en-US" w:eastAsia="zh-CN" w:bidi="ar-SA"/>
        </w:rPr>
        <w:t>二、编制依据</w:t>
      </w:r>
      <w:bookmarkEnd w:id="13"/>
      <w:bookmarkEnd w:id="14"/>
      <w:bookmarkEnd w:id="15"/>
      <w:bookmarkEnd w:id="16"/>
      <w:bookmarkEnd w:id="17"/>
      <w:bookmarkEnd w:id="18"/>
    </w:p>
    <w:p w14:paraId="1DAE5054">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bookmarkStart w:id="19" w:name="_Toc523382870"/>
      <w:bookmarkStart w:id="20" w:name="_Toc430159475"/>
      <w:bookmarkStart w:id="21" w:name="_Toc46872343"/>
      <w:bookmarkStart w:id="22" w:name="_Toc527711360"/>
      <w:bookmarkStart w:id="23" w:name="_Toc527712083"/>
      <w:r>
        <w:rPr>
          <w:rFonts w:hint="eastAsia" w:ascii="宋体" w:hAnsi="宋体" w:eastAsia="宋体" w:cs="宋体"/>
          <w:color w:val="000000"/>
          <w:sz w:val="28"/>
          <w:szCs w:val="28"/>
          <w:highlight w:val="none"/>
        </w:rPr>
        <w:t>（一）一般规定</w:t>
      </w:r>
    </w:p>
    <w:p w14:paraId="66E3DAE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1、国铁科法〔2018〕93号国家铁路局关于发布《铁路建设项目预可行性研究、可行性研究和设计文件编制办法》的通知（以下简称“93号文”）；</w:t>
      </w:r>
    </w:p>
    <w:p w14:paraId="56E85BD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2、《铁路基本建设工程设计概（预）算编制办法》（TB 10801-2024）（以下简称“TB 10801-2024号文”）；</w:t>
      </w:r>
    </w:p>
    <w:p w14:paraId="3C6A3C0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3、《铁路基本建设工程设计概（预）算费用定额》（TB 10811-2024）（以下简称“TB 10811-2024号文”）；</w:t>
      </w:r>
    </w:p>
    <w:p w14:paraId="029EC30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4、《铁路工程施工机具台班费用定额》（TB/T 10814-2024）（以下简称“TB/T 10814-2024号文”）；</w:t>
      </w:r>
    </w:p>
    <w:p w14:paraId="1D4AAD3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5、《铁路工程材料基期价格》（TB/T 10813-2024）（以下简称“TB/T 10813-2024号文”）；</w:t>
      </w:r>
    </w:p>
    <w:p w14:paraId="4777F43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6、《铁路工程基本定额》（TB/T 10821-2024）（以下简称“TB/T 10821-2024号文”）；</w:t>
      </w:r>
    </w:p>
    <w:p w14:paraId="029413D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7、《铁路工程预算定额》(“第一册”-“第十三册”“TB/T 10822-2024~TB/T 10834-2024”)；</w:t>
      </w:r>
    </w:p>
    <w:p w14:paraId="2E0F41B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8、本阶段设计图纸及其他设计文件及规定；</w:t>
      </w:r>
    </w:p>
    <w:p w14:paraId="19CA35A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9、铁路基建工程云计价系统2024V1.0网络版。</w:t>
      </w:r>
    </w:p>
    <w:p w14:paraId="4F40F02C">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二</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定额</w:t>
      </w:r>
    </w:p>
    <w:bookmarkEnd w:id="19"/>
    <w:bookmarkEnd w:id="20"/>
    <w:bookmarkEnd w:id="21"/>
    <w:bookmarkEnd w:id="22"/>
    <w:bookmarkEnd w:id="23"/>
    <w:p w14:paraId="31C2FAF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采用《铁路工程基本定额》（TB/T 10821-2024）（以下简称“TB/T 10821-2024”）；《铁路工程预算定额》(“第一册”-“第十三册”“TB/T 10822-2024~TB/T 10834-2024”)。</w:t>
      </w:r>
    </w:p>
    <w:p w14:paraId="6DAC56B6">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三</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人工单价</w:t>
      </w:r>
    </w:p>
    <w:p w14:paraId="265BA2D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根据“TB 10811-2024号文”规定执行。</w:t>
      </w:r>
    </w:p>
    <w:p w14:paraId="476FE3AF">
      <w:pPr>
        <w:keepNext w:val="0"/>
        <w:keepLines w:val="0"/>
        <w:pageBreakBefore w:val="0"/>
        <w:widowControl w:val="0"/>
        <w:kinsoku/>
        <w:wordWrap/>
        <w:overflowPunct/>
        <w:topLinePunct w:val="0"/>
        <w:autoSpaceDE w:val="0"/>
        <w:autoSpaceDN/>
        <w:bidi w:val="0"/>
        <w:adjustRightInd w:val="0"/>
        <w:snapToGrid w:val="0"/>
        <w:spacing w:line="360" w:lineRule="auto"/>
        <w:ind w:firstLine="0" w:firstLineChars="0"/>
        <w:jc w:val="center"/>
        <w:textAlignment w:val="auto"/>
        <w:rPr>
          <w:rFonts w:hint="eastAsia" w:ascii="Times New Roman" w:hAnsi="Times New Roman" w:eastAsia="宋体" w:cs="Times New Roman"/>
          <w:sz w:val="28"/>
          <w:szCs w:val="28"/>
          <w:lang w:eastAsia="zh-CN"/>
        </w:rPr>
      </w:pPr>
      <w:r>
        <w:rPr>
          <w:rFonts w:hint="eastAsia" w:ascii="宋体" w:hAnsi="宋体" w:eastAsia="宋体" w:cs="宋体"/>
          <w:b/>
          <w:bCs/>
          <w:snapToGrid w:val="0"/>
          <w:kern w:val="0"/>
          <w:sz w:val="22"/>
          <w:szCs w:val="22"/>
          <w:highlight w:val="none"/>
          <w:lang w:val="en-US" w:eastAsia="zh-CN"/>
        </w:rPr>
        <w:t>工费</w:t>
      </w:r>
      <w:r>
        <w:rPr>
          <w:rFonts w:hint="eastAsia" w:ascii="宋体" w:hAnsi="宋体" w:eastAsia="宋体" w:cs="宋体"/>
          <w:b/>
          <w:bCs/>
          <w:snapToGrid w:val="0"/>
          <w:kern w:val="0"/>
          <w:sz w:val="22"/>
          <w:szCs w:val="22"/>
          <w:highlight w:val="none"/>
        </w:rPr>
        <w:t>表</w:t>
      </w:r>
    </w:p>
    <w:tbl>
      <w:tblPr>
        <w:tblStyle w:val="11"/>
        <w:tblW w:w="427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72"/>
        <w:gridCol w:w="5301"/>
        <w:gridCol w:w="1220"/>
      </w:tblGrid>
      <w:tr w14:paraId="71FBB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40" w:hRule="atLeast"/>
          <w:tblHeader/>
          <w:jc w:val="center"/>
        </w:trPr>
        <w:tc>
          <w:tcPr>
            <w:tcW w:w="529" w:type="pct"/>
            <w:noWrap w:val="0"/>
            <w:vAlign w:val="center"/>
          </w:tcPr>
          <w:p w14:paraId="040EFB69">
            <w:pPr>
              <w:widowControl/>
              <w:adjustRightInd/>
              <w:snapToGrid/>
              <w:spacing w:line="240" w:lineRule="exact"/>
              <w:ind w:left="-63" w:leftChars="-30" w:right="-63" w:rightChars="-30" w:firstLine="0" w:firstLineChars="0"/>
              <w:jc w:val="center"/>
              <w:rPr>
                <w:rFonts w:hint="eastAsia" w:ascii="Times New Roman" w:hAnsi="Times New Roman" w:eastAsia="宋体" w:cs="宋体"/>
                <w:b/>
                <w:kern w:val="0"/>
                <w:sz w:val="21"/>
                <w:szCs w:val="18"/>
                <w:lang w:val="en-US" w:eastAsia="zh-CN" w:bidi="ar-SA"/>
              </w:rPr>
            </w:pPr>
            <w:r>
              <w:rPr>
                <w:rFonts w:ascii="Times New Roman" w:hAnsi="Times New Roman" w:eastAsia="宋体" w:cs="宋体"/>
                <w:b/>
                <w:kern w:val="0"/>
                <w:sz w:val="21"/>
                <w:szCs w:val="18"/>
                <w:lang w:val="en-US" w:eastAsia="zh-CN" w:bidi="ar-SA"/>
              </w:rPr>
              <w:t>综合工费类别</w:t>
            </w:r>
          </w:p>
        </w:tc>
        <w:tc>
          <w:tcPr>
            <w:tcW w:w="3633" w:type="pct"/>
            <w:noWrap w:val="0"/>
            <w:vAlign w:val="center"/>
          </w:tcPr>
          <w:p w14:paraId="6478E330">
            <w:pPr>
              <w:widowControl/>
              <w:adjustRightInd/>
              <w:snapToGrid/>
              <w:spacing w:line="240" w:lineRule="exact"/>
              <w:ind w:left="-63" w:leftChars="-30" w:right="-63" w:rightChars="-30" w:firstLine="0" w:firstLineChars="0"/>
              <w:jc w:val="center"/>
              <w:rPr>
                <w:rFonts w:hint="eastAsia" w:ascii="Times New Roman" w:hAnsi="Times New Roman" w:eastAsia="宋体" w:cs="宋体"/>
                <w:b/>
                <w:kern w:val="0"/>
                <w:sz w:val="21"/>
                <w:szCs w:val="18"/>
                <w:lang w:val="en-US" w:eastAsia="zh-CN" w:bidi="ar-SA"/>
              </w:rPr>
            </w:pPr>
            <w:r>
              <w:rPr>
                <w:rFonts w:ascii="Times New Roman" w:hAnsi="Times New Roman" w:eastAsia="宋体" w:cs="宋体"/>
                <w:b/>
                <w:kern w:val="0"/>
                <w:sz w:val="21"/>
                <w:szCs w:val="18"/>
                <w:lang w:val="en-US" w:eastAsia="zh-CN" w:bidi="ar-SA"/>
              </w:rPr>
              <w:t>工  程  类  别</w:t>
            </w:r>
          </w:p>
        </w:tc>
        <w:tc>
          <w:tcPr>
            <w:tcW w:w="836" w:type="pct"/>
            <w:noWrap w:val="0"/>
            <w:vAlign w:val="center"/>
          </w:tcPr>
          <w:p w14:paraId="3A38AC63">
            <w:pPr>
              <w:widowControl/>
              <w:adjustRightInd/>
              <w:snapToGrid/>
              <w:spacing w:line="240" w:lineRule="exact"/>
              <w:ind w:left="-63" w:leftChars="-30" w:right="-63" w:rightChars="-30" w:firstLine="0" w:firstLineChars="0"/>
              <w:jc w:val="center"/>
              <w:rPr>
                <w:rFonts w:hint="eastAsia" w:ascii="Times New Roman" w:hAnsi="Times New Roman" w:eastAsia="宋体" w:cs="宋体"/>
                <w:b/>
                <w:kern w:val="0"/>
                <w:sz w:val="21"/>
                <w:szCs w:val="18"/>
                <w:lang w:val="en-US" w:eastAsia="zh-CN" w:bidi="ar-SA"/>
              </w:rPr>
            </w:pPr>
            <w:r>
              <w:rPr>
                <w:rFonts w:ascii="Times New Roman" w:hAnsi="Times New Roman" w:eastAsia="宋体" w:cs="宋体"/>
                <w:b/>
                <w:kern w:val="0"/>
                <w:sz w:val="21"/>
                <w:szCs w:val="18"/>
                <w:lang w:val="en-US" w:eastAsia="zh-CN" w:bidi="ar-SA"/>
              </w:rPr>
              <w:t>基期单价</w:t>
            </w:r>
          </w:p>
          <w:p w14:paraId="385E4889">
            <w:pPr>
              <w:widowControl/>
              <w:adjustRightInd/>
              <w:snapToGrid/>
              <w:spacing w:line="240" w:lineRule="exact"/>
              <w:ind w:left="-63" w:leftChars="-30" w:right="-63" w:rightChars="-30" w:firstLine="0" w:firstLineChars="0"/>
              <w:jc w:val="center"/>
              <w:rPr>
                <w:rFonts w:hint="eastAsia" w:ascii="Times New Roman" w:hAnsi="Times New Roman" w:eastAsia="宋体" w:cs="宋体"/>
                <w:b/>
                <w:kern w:val="0"/>
                <w:sz w:val="21"/>
                <w:szCs w:val="18"/>
                <w:lang w:val="en-US" w:eastAsia="zh-CN" w:bidi="ar-SA"/>
              </w:rPr>
            </w:pPr>
            <w:r>
              <w:rPr>
                <w:rFonts w:hint="eastAsia" w:ascii="Times New Roman" w:hAnsi="Times New Roman" w:eastAsia="宋体" w:cs="宋体"/>
                <w:b/>
                <w:kern w:val="0"/>
                <w:sz w:val="21"/>
                <w:szCs w:val="18"/>
                <w:lang w:val="en-US" w:eastAsia="zh-CN" w:bidi="ar-SA"/>
              </w:rPr>
              <w:t>（</w:t>
            </w:r>
            <w:r>
              <w:rPr>
                <w:rFonts w:ascii="Times New Roman" w:hAnsi="Times New Roman" w:eastAsia="宋体" w:cs="宋体"/>
                <w:b/>
                <w:kern w:val="0"/>
                <w:sz w:val="21"/>
                <w:szCs w:val="18"/>
                <w:lang w:val="en-US" w:eastAsia="zh-CN" w:bidi="ar-SA"/>
              </w:rPr>
              <w:t>元/工日</w:t>
            </w:r>
            <w:r>
              <w:rPr>
                <w:rFonts w:hint="eastAsia" w:ascii="Times New Roman" w:hAnsi="Times New Roman" w:eastAsia="宋体" w:cs="宋体"/>
                <w:b/>
                <w:kern w:val="0"/>
                <w:sz w:val="21"/>
                <w:szCs w:val="18"/>
                <w:lang w:val="en-US" w:eastAsia="zh-CN" w:bidi="ar-SA"/>
              </w:rPr>
              <w:t>）</w:t>
            </w:r>
          </w:p>
        </w:tc>
      </w:tr>
      <w:tr w14:paraId="388C1A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1" w:hRule="atLeast"/>
          <w:jc w:val="center"/>
        </w:trPr>
        <w:tc>
          <w:tcPr>
            <w:tcW w:w="529" w:type="pct"/>
            <w:noWrap w:val="0"/>
            <w:vAlign w:val="center"/>
          </w:tcPr>
          <w:p w14:paraId="4FC50122">
            <w:pPr>
              <w:widowControl/>
              <w:adjustRightInd/>
              <w:snapToGrid/>
              <w:spacing w:line="240" w:lineRule="exact"/>
              <w:ind w:left="-63" w:leftChars="-30" w:right="-63" w:rightChars="-30" w:firstLine="0" w:firstLineChars="0"/>
              <w:jc w:val="center"/>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I</w:t>
            </w:r>
          </w:p>
        </w:tc>
        <w:tc>
          <w:tcPr>
            <w:tcW w:w="3633" w:type="pct"/>
            <w:noWrap w:val="0"/>
            <w:vAlign w:val="center"/>
          </w:tcPr>
          <w:p w14:paraId="58EDCFCB">
            <w:pPr>
              <w:widowControl/>
              <w:adjustRightInd/>
              <w:snapToGrid/>
              <w:spacing w:line="240" w:lineRule="exact"/>
              <w:ind w:left="-63" w:leftChars="-30" w:right="-63" w:rightChars="-30" w:firstLine="0" w:firstLineChars="0"/>
              <w:jc w:val="left"/>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路基(不含路基基床表层及过渡段的级配碎石、砂砾石)，涵洞，一般生产房屋和附属、给排水、站场(不含旅客地道、天桥、雨棚)等的建筑工程，取弃土(石)场处理，大临工程</w:t>
            </w:r>
          </w:p>
        </w:tc>
        <w:tc>
          <w:tcPr>
            <w:tcW w:w="836" w:type="pct"/>
            <w:noWrap w:val="0"/>
            <w:vAlign w:val="center"/>
          </w:tcPr>
          <w:p w14:paraId="739CB7CA">
            <w:pPr>
              <w:widowControl/>
              <w:adjustRightInd/>
              <w:snapToGrid/>
              <w:spacing w:line="240" w:lineRule="exact"/>
              <w:ind w:left="-63" w:leftChars="-30" w:right="-63" w:rightChars="-30" w:firstLine="0" w:firstLineChars="0"/>
              <w:jc w:val="center"/>
              <w:rPr>
                <w:rFonts w:hint="default" w:ascii="Times New Roman" w:hAnsi="Times New Roman" w:eastAsia="宋体" w:cs="宋体"/>
                <w:kern w:val="0"/>
                <w:sz w:val="21"/>
                <w:szCs w:val="18"/>
                <w:lang w:val="en-US" w:eastAsia="zh-CN" w:bidi="ar-SA"/>
              </w:rPr>
            </w:pPr>
            <w:r>
              <w:rPr>
                <w:rFonts w:hint="eastAsia" w:ascii="Times New Roman" w:hAnsi="Times New Roman" w:eastAsia="宋体" w:cs="宋体"/>
                <w:kern w:val="0"/>
                <w:sz w:val="21"/>
                <w:szCs w:val="18"/>
                <w:lang w:val="en-US" w:eastAsia="zh-CN" w:bidi="ar-SA"/>
              </w:rPr>
              <w:t>140.11</w:t>
            </w:r>
          </w:p>
        </w:tc>
      </w:tr>
      <w:tr w14:paraId="22EE1E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29" w:type="pct"/>
            <w:noWrap w:val="0"/>
            <w:vAlign w:val="center"/>
          </w:tcPr>
          <w:p w14:paraId="6DA288BF">
            <w:pPr>
              <w:widowControl/>
              <w:adjustRightInd/>
              <w:snapToGrid/>
              <w:spacing w:line="240" w:lineRule="exact"/>
              <w:ind w:left="-63" w:leftChars="-30" w:right="-63" w:rightChars="-30" w:firstLine="0" w:firstLineChars="0"/>
              <w:jc w:val="center"/>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Ⅱ</w:t>
            </w:r>
          </w:p>
        </w:tc>
        <w:tc>
          <w:tcPr>
            <w:tcW w:w="3633" w:type="pct"/>
            <w:noWrap w:val="0"/>
            <w:vAlign w:val="center"/>
          </w:tcPr>
          <w:p w14:paraId="329CF7CF">
            <w:pPr>
              <w:widowControl/>
              <w:adjustRightInd/>
              <w:snapToGrid/>
              <w:spacing w:line="240" w:lineRule="exact"/>
              <w:ind w:left="-63" w:leftChars="-30" w:right="-63" w:rightChars="-30" w:firstLine="0" w:firstLineChars="0"/>
              <w:jc w:val="left"/>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路基基床表层及过渡段的级配碎石、砂砾石</w:t>
            </w:r>
          </w:p>
        </w:tc>
        <w:tc>
          <w:tcPr>
            <w:tcW w:w="836" w:type="pct"/>
            <w:noWrap w:val="0"/>
            <w:vAlign w:val="center"/>
          </w:tcPr>
          <w:p w14:paraId="1905E968">
            <w:pPr>
              <w:widowControl/>
              <w:adjustRightInd/>
              <w:snapToGrid/>
              <w:spacing w:line="240" w:lineRule="exact"/>
              <w:ind w:left="-63" w:leftChars="-30" w:right="-63" w:rightChars="-30" w:firstLine="0" w:firstLineChars="0"/>
              <w:jc w:val="center"/>
              <w:rPr>
                <w:rFonts w:hint="default" w:ascii="Times New Roman" w:hAnsi="Times New Roman" w:eastAsia="宋体" w:cs="宋体"/>
                <w:kern w:val="0"/>
                <w:sz w:val="21"/>
                <w:szCs w:val="18"/>
                <w:lang w:val="en-US" w:eastAsia="zh-CN" w:bidi="ar-SA"/>
              </w:rPr>
            </w:pPr>
            <w:r>
              <w:rPr>
                <w:rFonts w:hint="eastAsia" w:ascii="Times New Roman" w:hAnsi="Times New Roman" w:eastAsia="宋体" w:cs="宋体"/>
                <w:kern w:val="0"/>
                <w:sz w:val="21"/>
                <w:szCs w:val="18"/>
                <w:lang w:val="en-US" w:eastAsia="zh-CN" w:bidi="ar-SA"/>
              </w:rPr>
              <w:t>143.13</w:t>
            </w:r>
          </w:p>
        </w:tc>
      </w:tr>
      <w:tr w14:paraId="2C20E1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529" w:type="pct"/>
            <w:noWrap w:val="0"/>
            <w:vAlign w:val="center"/>
          </w:tcPr>
          <w:p w14:paraId="1CC59F7D">
            <w:pPr>
              <w:widowControl/>
              <w:adjustRightInd/>
              <w:snapToGrid/>
              <w:spacing w:line="240" w:lineRule="exact"/>
              <w:ind w:left="-63" w:leftChars="-30" w:right="-63" w:rightChars="-30" w:firstLine="0" w:firstLineChars="0"/>
              <w:jc w:val="center"/>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Ⅲ</w:t>
            </w:r>
          </w:p>
        </w:tc>
        <w:tc>
          <w:tcPr>
            <w:tcW w:w="3633" w:type="pct"/>
            <w:noWrap w:val="0"/>
            <w:vAlign w:val="center"/>
          </w:tcPr>
          <w:p w14:paraId="6511B529">
            <w:pPr>
              <w:widowControl/>
              <w:adjustRightInd/>
              <w:snapToGrid/>
              <w:spacing w:line="240" w:lineRule="exact"/>
              <w:ind w:left="-63" w:leftChars="-30" w:right="-63" w:rightChars="-30" w:firstLine="0" w:firstLineChars="0"/>
              <w:jc w:val="both"/>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桥梁(不含箱梁的预制、运输、架设、现浇，桥面系)，通信、信号、信息、灾害监测、电力、电力牵引供电、机务、车辆、动车、工务、其他建筑及设备等的建筑工程</w:t>
            </w:r>
          </w:p>
        </w:tc>
        <w:tc>
          <w:tcPr>
            <w:tcW w:w="836" w:type="pct"/>
            <w:noWrap w:val="0"/>
            <w:vAlign w:val="center"/>
          </w:tcPr>
          <w:p w14:paraId="4866C755">
            <w:pPr>
              <w:widowControl/>
              <w:adjustRightInd/>
              <w:snapToGrid/>
              <w:spacing w:line="240" w:lineRule="exact"/>
              <w:ind w:left="-63" w:leftChars="-30" w:right="-63" w:rightChars="-30" w:firstLine="0" w:firstLineChars="0"/>
              <w:jc w:val="center"/>
              <w:rPr>
                <w:rFonts w:hint="default" w:ascii="Times New Roman" w:hAnsi="Times New Roman" w:eastAsia="宋体" w:cs="宋体"/>
                <w:kern w:val="0"/>
                <w:sz w:val="21"/>
                <w:szCs w:val="18"/>
                <w:lang w:val="en-US" w:eastAsia="zh-CN" w:bidi="ar-SA"/>
              </w:rPr>
            </w:pPr>
            <w:r>
              <w:rPr>
                <w:rFonts w:hint="eastAsia" w:ascii="Times New Roman" w:hAnsi="Times New Roman" w:eastAsia="宋体" w:cs="宋体"/>
                <w:kern w:val="0"/>
                <w:sz w:val="21"/>
                <w:szCs w:val="18"/>
                <w:lang w:val="en-US" w:eastAsia="zh-CN" w:bidi="ar-SA"/>
              </w:rPr>
              <w:t>149.18</w:t>
            </w:r>
          </w:p>
        </w:tc>
      </w:tr>
      <w:tr w14:paraId="14060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3" w:hRule="atLeast"/>
          <w:jc w:val="center"/>
        </w:trPr>
        <w:tc>
          <w:tcPr>
            <w:tcW w:w="529" w:type="pct"/>
            <w:noWrap w:val="0"/>
            <w:vAlign w:val="center"/>
          </w:tcPr>
          <w:p w14:paraId="232D6463">
            <w:pPr>
              <w:widowControl/>
              <w:adjustRightInd/>
              <w:snapToGrid/>
              <w:spacing w:line="240" w:lineRule="exact"/>
              <w:ind w:left="-63" w:leftChars="-30" w:right="-63" w:rightChars="-30" w:firstLine="0" w:firstLineChars="0"/>
              <w:jc w:val="center"/>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Ⅳ</w:t>
            </w:r>
          </w:p>
        </w:tc>
        <w:tc>
          <w:tcPr>
            <w:tcW w:w="3633" w:type="pct"/>
            <w:noWrap w:val="0"/>
            <w:vAlign w:val="center"/>
          </w:tcPr>
          <w:p w14:paraId="13E8407D">
            <w:pPr>
              <w:widowControl/>
              <w:adjustRightInd/>
              <w:snapToGrid/>
              <w:spacing w:line="240" w:lineRule="exact"/>
              <w:ind w:left="-63" w:leftChars="-30" w:right="-63" w:rightChars="-30" w:firstLine="0" w:firstLineChars="0"/>
              <w:jc w:val="left"/>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设备安装工程(不含通信、信号、信息、灾害监测、电力、电力牵引供电的设备安装)</w:t>
            </w:r>
          </w:p>
        </w:tc>
        <w:tc>
          <w:tcPr>
            <w:tcW w:w="836" w:type="pct"/>
            <w:noWrap w:val="0"/>
            <w:vAlign w:val="center"/>
          </w:tcPr>
          <w:p w14:paraId="57A43D3F">
            <w:pPr>
              <w:widowControl/>
              <w:adjustRightInd/>
              <w:snapToGrid/>
              <w:spacing w:line="240" w:lineRule="exact"/>
              <w:ind w:left="-63" w:leftChars="-30" w:right="-63" w:rightChars="-30" w:firstLine="0" w:firstLineChars="0"/>
              <w:jc w:val="center"/>
              <w:rPr>
                <w:rFonts w:hint="default" w:ascii="Times New Roman" w:hAnsi="Times New Roman" w:eastAsia="宋体" w:cs="宋体"/>
                <w:kern w:val="0"/>
                <w:sz w:val="21"/>
                <w:szCs w:val="18"/>
                <w:lang w:val="en-US" w:eastAsia="zh-CN" w:bidi="ar-SA"/>
              </w:rPr>
            </w:pPr>
            <w:r>
              <w:rPr>
                <w:rFonts w:hint="eastAsia" w:ascii="Times New Roman" w:hAnsi="Times New Roman" w:eastAsia="宋体" w:cs="宋体"/>
                <w:kern w:val="0"/>
                <w:sz w:val="21"/>
                <w:szCs w:val="18"/>
                <w:lang w:val="en-US" w:eastAsia="zh-CN" w:bidi="ar-SA"/>
              </w:rPr>
              <w:t>154.88</w:t>
            </w:r>
          </w:p>
        </w:tc>
      </w:tr>
      <w:tr w14:paraId="1EBC3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9" w:hRule="atLeast"/>
          <w:jc w:val="center"/>
        </w:trPr>
        <w:tc>
          <w:tcPr>
            <w:tcW w:w="529" w:type="pct"/>
            <w:noWrap w:val="0"/>
            <w:vAlign w:val="center"/>
          </w:tcPr>
          <w:p w14:paraId="34E0D40B">
            <w:pPr>
              <w:widowControl/>
              <w:adjustRightInd/>
              <w:snapToGrid/>
              <w:spacing w:line="240" w:lineRule="exact"/>
              <w:ind w:left="-63" w:leftChars="-30" w:right="-63" w:rightChars="-30" w:firstLine="0" w:firstLineChars="0"/>
              <w:jc w:val="center"/>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Ⅴ</w:t>
            </w:r>
          </w:p>
        </w:tc>
        <w:tc>
          <w:tcPr>
            <w:tcW w:w="3633" w:type="pct"/>
            <w:noWrap w:val="0"/>
            <w:vAlign w:val="center"/>
          </w:tcPr>
          <w:p w14:paraId="5944499A">
            <w:pPr>
              <w:widowControl/>
              <w:adjustRightInd/>
              <w:snapToGrid/>
              <w:spacing w:line="240" w:lineRule="exact"/>
              <w:ind w:left="-63" w:leftChars="-30" w:right="-63" w:rightChars="-30" w:firstLine="0" w:firstLineChars="0"/>
              <w:jc w:val="left"/>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箱梁(预制、运输、架设、现浇)、钢梁、钢管拱架设、桥面系，粒料道床，站房(含站房综合楼)，旅客地道、天桥、雨棚</w:t>
            </w:r>
          </w:p>
        </w:tc>
        <w:tc>
          <w:tcPr>
            <w:tcW w:w="836" w:type="pct"/>
            <w:noWrap w:val="0"/>
            <w:vAlign w:val="center"/>
          </w:tcPr>
          <w:p w14:paraId="75C6654F">
            <w:pPr>
              <w:widowControl/>
              <w:adjustRightInd/>
              <w:snapToGrid/>
              <w:spacing w:line="240" w:lineRule="exact"/>
              <w:ind w:left="-63" w:leftChars="-30" w:right="-63" w:rightChars="-30" w:firstLine="0" w:firstLineChars="0"/>
              <w:jc w:val="center"/>
              <w:rPr>
                <w:rFonts w:hint="default" w:ascii="Times New Roman" w:hAnsi="Times New Roman" w:eastAsia="宋体" w:cs="宋体"/>
                <w:kern w:val="0"/>
                <w:sz w:val="21"/>
                <w:szCs w:val="18"/>
                <w:lang w:val="en-US" w:eastAsia="zh-CN" w:bidi="ar-SA"/>
              </w:rPr>
            </w:pPr>
            <w:r>
              <w:rPr>
                <w:rFonts w:hint="eastAsia" w:ascii="Times New Roman" w:hAnsi="Times New Roman" w:eastAsia="宋体" w:cs="宋体"/>
                <w:kern w:val="0"/>
                <w:sz w:val="21"/>
                <w:szCs w:val="18"/>
                <w:lang w:val="en-US" w:eastAsia="zh-CN" w:bidi="ar-SA"/>
              </w:rPr>
              <w:t>160.93</w:t>
            </w:r>
          </w:p>
        </w:tc>
      </w:tr>
      <w:tr w14:paraId="782A29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29" w:type="pct"/>
            <w:noWrap w:val="0"/>
            <w:vAlign w:val="center"/>
          </w:tcPr>
          <w:p w14:paraId="44B0D715">
            <w:pPr>
              <w:widowControl/>
              <w:adjustRightInd/>
              <w:snapToGrid/>
              <w:spacing w:line="240" w:lineRule="exact"/>
              <w:ind w:left="-63" w:leftChars="-30" w:right="-63" w:rightChars="-30" w:firstLine="0" w:firstLineChars="0"/>
              <w:jc w:val="center"/>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Ⅵ</w:t>
            </w:r>
          </w:p>
        </w:tc>
        <w:tc>
          <w:tcPr>
            <w:tcW w:w="3633" w:type="pct"/>
            <w:noWrap w:val="0"/>
            <w:vAlign w:val="center"/>
          </w:tcPr>
          <w:p w14:paraId="63D44DFD">
            <w:pPr>
              <w:widowControl/>
              <w:adjustRightInd/>
              <w:snapToGrid/>
              <w:spacing w:line="240" w:lineRule="exact"/>
              <w:ind w:left="-63" w:leftChars="-30" w:right="-63" w:rightChars="-30" w:firstLine="0" w:firstLineChars="0"/>
              <w:jc w:val="left"/>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轨道(不含粒料道床)，通信、信号、信息、灾害监测、电力、电力牵引供电的设备安装</w:t>
            </w:r>
          </w:p>
        </w:tc>
        <w:tc>
          <w:tcPr>
            <w:tcW w:w="836" w:type="pct"/>
            <w:noWrap w:val="0"/>
            <w:vAlign w:val="center"/>
          </w:tcPr>
          <w:p w14:paraId="1CB0C5C6">
            <w:pPr>
              <w:widowControl/>
              <w:adjustRightInd/>
              <w:snapToGrid/>
              <w:spacing w:line="240" w:lineRule="exact"/>
              <w:ind w:left="-63" w:leftChars="-30" w:right="-63" w:rightChars="-30" w:firstLine="0" w:firstLineChars="0"/>
              <w:jc w:val="center"/>
              <w:rPr>
                <w:rFonts w:hint="default" w:ascii="Times New Roman" w:hAnsi="Times New Roman" w:eastAsia="宋体" w:cs="宋体"/>
                <w:kern w:val="0"/>
                <w:sz w:val="21"/>
                <w:szCs w:val="18"/>
                <w:lang w:val="en-US" w:eastAsia="zh-CN" w:bidi="ar-SA"/>
              </w:rPr>
            </w:pPr>
            <w:r>
              <w:rPr>
                <w:rFonts w:hint="eastAsia" w:ascii="Times New Roman" w:hAnsi="Times New Roman" w:eastAsia="宋体" w:cs="宋体"/>
                <w:kern w:val="0"/>
                <w:sz w:val="21"/>
                <w:szCs w:val="18"/>
                <w:lang w:val="en-US" w:eastAsia="zh-CN" w:bidi="ar-SA"/>
              </w:rPr>
              <w:t>166.80</w:t>
            </w:r>
          </w:p>
        </w:tc>
      </w:tr>
      <w:tr w14:paraId="7F246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29" w:type="pct"/>
            <w:noWrap w:val="0"/>
            <w:vAlign w:val="center"/>
          </w:tcPr>
          <w:p w14:paraId="2E92B67C">
            <w:pPr>
              <w:widowControl/>
              <w:adjustRightInd/>
              <w:snapToGrid/>
              <w:spacing w:line="240" w:lineRule="exact"/>
              <w:ind w:left="-63" w:leftChars="-30" w:right="-63" w:rightChars="-30" w:firstLine="0" w:firstLineChars="0"/>
              <w:jc w:val="center"/>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Ⅶ</w:t>
            </w:r>
          </w:p>
        </w:tc>
        <w:tc>
          <w:tcPr>
            <w:tcW w:w="3633" w:type="pct"/>
            <w:noWrap w:val="0"/>
            <w:vAlign w:val="center"/>
          </w:tcPr>
          <w:p w14:paraId="6A2105B2">
            <w:pPr>
              <w:widowControl/>
              <w:adjustRightInd/>
              <w:snapToGrid/>
              <w:spacing w:line="240" w:lineRule="exact"/>
              <w:ind w:left="-63" w:leftChars="-30" w:right="-63" w:rightChars="-30" w:firstLine="0" w:firstLineChars="0"/>
              <w:jc w:val="center"/>
              <w:rPr>
                <w:rFonts w:hint="eastAsia" w:ascii="Times New Roman" w:hAnsi="Times New Roman" w:eastAsia="宋体" w:cs="宋体"/>
                <w:kern w:val="0"/>
                <w:sz w:val="21"/>
                <w:szCs w:val="18"/>
                <w:lang w:val="en-US" w:eastAsia="zh-CN" w:bidi="ar-SA"/>
              </w:rPr>
            </w:pPr>
            <w:r>
              <w:rPr>
                <w:rFonts w:ascii="Times New Roman" w:hAnsi="Times New Roman" w:eastAsia="宋体" w:cs="宋体"/>
                <w:kern w:val="0"/>
                <w:sz w:val="21"/>
                <w:szCs w:val="18"/>
                <w:lang w:val="en-US" w:eastAsia="zh-CN" w:bidi="ar-SA"/>
              </w:rPr>
              <w:t>隧 道</w:t>
            </w:r>
          </w:p>
        </w:tc>
        <w:tc>
          <w:tcPr>
            <w:tcW w:w="836" w:type="pct"/>
            <w:noWrap w:val="0"/>
            <w:vAlign w:val="center"/>
          </w:tcPr>
          <w:p w14:paraId="34F653AD">
            <w:pPr>
              <w:widowControl/>
              <w:adjustRightInd/>
              <w:snapToGrid/>
              <w:spacing w:line="240" w:lineRule="exact"/>
              <w:ind w:left="-63" w:leftChars="-30" w:right="-63" w:rightChars="-30" w:firstLine="0" w:firstLineChars="0"/>
              <w:jc w:val="center"/>
              <w:rPr>
                <w:rFonts w:hint="default" w:ascii="Times New Roman" w:hAnsi="Times New Roman" w:eastAsia="宋体" w:cs="宋体"/>
                <w:kern w:val="0"/>
                <w:sz w:val="21"/>
                <w:szCs w:val="18"/>
                <w:lang w:val="en-US" w:eastAsia="zh-CN" w:bidi="ar-SA"/>
              </w:rPr>
            </w:pPr>
            <w:r>
              <w:rPr>
                <w:rFonts w:hint="eastAsia" w:ascii="Times New Roman" w:hAnsi="Times New Roman" w:eastAsia="宋体" w:cs="宋体"/>
                <w:kern w:val="0"/>
                <w:sz w:val="21"/>
                <w:szCs w:val="18"/>
                <w:lang w:val="en-US" w:eastAsia="zh-CN" w:bidi="ar-SA"/>
              </w:rPr>
              <w:t>201.34</w:t>
            </w:r>
          </w:p>
        </w:tc>
      </w:tr>
    </w:tbl>
    <w:p w14:paraId="6BF59693">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四</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料价</w:t>
      </w:r>
    </w:p>
    <w:p w14:paraId="2E678D3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1、基期单价：按《铁路工程材料基期价格》（TB/T 10813-2024）执行。</w:t>
      </w:r>
    </w:p>
    <w:p w14:paraId="5078A26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2、编制期单价：主要材料参照《铁路工程建设2025年3季度主要材料价格信息》（营改增版）。当地料编制期价格结合市场调查价及参考2025年4期《甘肃省工程造价信息》公布的白银市信息价（除税价格）。</w:t>
      </w:r>
    </w:p>
    <w:p w14:paraId="2ADCBE6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3、汽油、柴油：基价采用“TB/T 10813-2024号文”规定，编制期价采用《铁路工程建设2025年3季度主要材料价格信息》（营改增版）。</w:t>
      </w:r>
    </w:p>
    <w:p w14:paraId="6EFD2F45">
      <w:pPr>
        <w:adjustRightInd w:val="0"/>
        <w:snapToGrid w:val="0"/>
        <w:ind w:firstLine="570"/>
        <w:jc w:val="center"/>
        <w:rPr>
          <w:rFonts w:ascii="Times New Roman" w:hAnsi="Times New Roman" w:eastAsia="宋体" w:cs="Times New Roman"/>
          <w:b/>
          <w:bCs/>
          <w:szCs w:val="21"/>
        </w:rPr>
      </w:pPr>
      <w:r>
        <w:rPr>
          <w:rFonts w:ascii="Times New Roman" w:hAnsi="Times New Roman" w:eastAsia="宋体" w:cs="Times New Roman"/>
          <w:b/>
          <w:bCs/>
          <w:sz w:val="28"/>
          <w:szCs w:val="28"/>
        </w:rPr>
        <w:t>油燃料价格及差价表</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066"/>
        <w:gridCol w:w="1502"/>
        <w:gridCol w:w="1498"/>
        <w:gridCol w:w="1365"/>
        <w:gridCol w:w="2091"/>
      </w:tblGrid>
      <w:tr w14:paraId="03ED1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340" w:hRule="atLeast"/>
          <w:jc w:val="center"/>
        </w:trPr>
        <w:tc>
          <w:tcPr>
            <w:tcW w:w="1212" w:type="pct"/>
            <w:vAlign w:val="center"/>
          </w:tcPr>
          <w:p w14:paraId="24B8D417">
            <w:pPr>
              <w:adjustRightInd w:val="0"/>
              <w:snapToGrid w:val="0"/>
              <w:jc w:val="center"/>
              <w:rPr>
                <w:rFonts w:ascii="Times New Roman" w:hAnsi="Times New Roman" w:eastAsia="宋体" w:cs="Times New Roman"/>
                <w:kern w:val="18"/>
                <w:szCs w:val="21"/>
              </w:rPr>
            </w:pPr>
            <w:r>
              <w:rPr>
                <w:rFonts w:ascii="Times New Roman" w:hAnsi="Times New Roman" w:eastAsia="宋体" w:cs="Times New Roman"/>
                <w:kern w:val="18"/>
                <w:szCs w:val="21"/>
              </w:rPr>
              <w:t>费 用 类 别</w:t>
            </w:r>
          </w:p>
        </w:tc>
        <w:tc>
          <w:tcPr>
            <w:tcW w:w="881" w:type="pct"/>
            <w:vAlign w:val="center"/>
          </w:tcPr>
          <w:p w14:paraId="6481F4F7">
            <w:pPr>
              <w:adjustRightInd w:val="0"/>
              <w:snapToGrid w:val="0"/>
              <w:jc w:val="center"/>
              <w:rPr>
                <w:rFonts w:ascii="Times New Roman" w:hAnsi="Times New Roman" w:eastAsia="宋体" w:cs="Times New Roman"/>
                <w:kern w:val="18"/>
                <w:szCs w:val="21"/>
              </w:rPr>
            </w:pPr>
            <w:r>
              <w:rPr>
                <w:rFonts w:ascii="Times New Roman" w:hAnsi="Times New Roman" w:eastAsia="宋体" w:cs="Times New Roman"/>
                <w:kern w:val="18"/>
                <w:szCs w:val="21"/>
              </w:rPr>
              <w:t>单  位</w:t>
            </w:r>
          </w:p>
        </w:tc>
        <w:tc>
          <w:tcPr>
            <w:tcW w:w="879" w:type="pct"/>
            <w:vAlign w:val="center"/>
          </w:tcPr>
          <w:p w14:paraId="2CACE945">
            <w:pPr>
              <w:adjustRightInd w:val="0"/>
              <w:snapToGrid w:val="0"/>
              <w:jc w:val="center"/>
              <w:rPr>
                <w:rFonts w:ascii="Times New Roman" w:hAnsi="Times New Roman" w:eastAsia="宋体" w:cs="Times New Roman"/>
                <w:kern w:val="18"/>
                <w:szCs w:val="21"/>
              </w:rPr>
            </w:pPr>
            <w:r>
              <w:rPr>
                <w:rFonts w:ascii="Times New Roman" w:hAnsi="Times New Roman" w:eastAsia="宋体" w:cs="Times New Roman"/>
                <w:kern w:val="18"/>
                <w:szCs w:val="21"/>
              </w:rPr>
              <w:t>编制期价</w:t>
            </w:r>
          </w:p>
        </w:tc>
        <w:tc>
          <w:tcPr>
            <w:tcW w:w="801" w:type="pct"/>
            <w:vAlign w:val="center"/>
          </w:tcPr>
          <w:p w14:paraId="1598D536">
            <w:pPr>
              <w:adjustRightInd w:val="0"/>
              <w:snapToGrid w:val="0"/>
              <w:jc w:val="center"/>
              <w:rPr>
                <w:rFonts w:ascii="Times New Roman" w:hAnsi="Times New Roman" w:eastAsia="宋体" w:cs="Times New Roman"/>
                <w:kern w:val="18"/>
                <w:szCs w:val="21"/>
              </w:rPr>
            </w:pPr>
            <w:r>
              <w:rPr>
                <w:rFonts w:ascii="Times New Roman" w:hAnsi="Times New Roman" w:eastAsia="宋体" w:cs="Times New Roman"/>
                <w:kern w:val="18"/>
                <w:szCs w:val="21"/>
              </w:rPr>
              <w:t>基期价</w:t>
            </w:r>
          </w:p>
        </w:tc>
        <w:tc>
          <w:tcPr>
            <w:tcW w:w="1227" w:type="pct"/>
            <w:vAlign w:val="center"/>
          </w:tcPr>
          <w:p w14:paraId="4FADFFD2">
            <w:pPr>
              <w:adjustRightInd w:val="0"/>
              <w:snapToGrid w:val="0"/>
              <w:jc w:val="center"/>
              <w:rPr>
                <w:rFonts w:ascii="Times New Roman" w:hAnsi="Times New Roman" w:eastAsia="宋体" w:cs="Times New Roman"/>
                <w:kern w:val="18"/>
                <w:szCs w:val="21"/>
              </w:rPr>
            </w:pPr>
            <w:r>
              <w:rPr>
                <w:rFonts w:ascii="Times New Roman" w:hAnsi="Times New Roman" w:eastAsia="宋体" w:cs="Times New Roman"/>
                <w:kern w:val="18"/>
                <w:szCs w:val="21"/>
              </w:rPr>
              <w:t>单 价 差</w:t>
            </w:r>
          </w:p>
        </w:tc>
      </w:tr>
      <w:tr w14:paraId="56AF70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212" w:type="pct"/>
            <w:vAlign w:val="center"/>
          </w:tcPr>
          <w:p w14:paraId="3FB7AF30">
            <w:pPr>
              <w:adjustRightInd w:val="0"/>
              <w:snapToGrid w:val="0"/>
              <w:jc w:val="center"/>
              <w:rPr>
                <w:rFonts w:ascii="Times New Roman" w:hAnsi="Times New Roman" w:eastAsia="宋体" w:cs="Times New Roman"/>
                <w:bCs/>
                <w:kern w:val="18"/>
                <w:szCs w:val="21"/>
              </w:rPr>
            </w:pPr>
            <w:r>
              <w:rPr>
                <w:rFonts w:ascii="Times New Roman" w:hAnsi="Times New Roman" w:eastAsia="宋体" w:cs="Times New Roman"/>
                <w:bCs/>
                <w:kern w:val="18"/>
                <w:szCs w:val="21"/>
              </w:rPr>
              <w:t>柴油</w:t>
            </w:r>
          </w:p>
        </w:tc>
        <w:tc>
          <w:tcPr>
            <w:tcW w:w="881" w:type="pct"/>
            <w:vAlign w:val="center"/>
          </w:tcPr>
          <w:p w14:paraId="5719B98E">
            <w:pPr>
              <w:adjustRightInd w:val="0"/>
              <w:snapToGrid w:val="0"/>
              <w:jc w:val="center"/>
              <w:rPr>
                <w:rFonts w:ascii="Times New Roman" w:hAnsi="Times New Roman" w:eastAsia="宋体" w:cs="Times New Roman"/>
                <w:bCs/>
                <w:kern w:val="18"/>
                <w:szCs w:val="21"/>
              </w:rPr>
            </w:pPr>
            <w:r>
              <w:rPr>
                <w:rFonts w:ascii="Times New Roman" w:hAnsi="Times New Roman" w:eastAsia="宋体" w:cs="Times New Roman"/>
                <w:bCs/>
                <w:kern w:val="18"/>
                <w:szCs w:val="21"/>
              </w:rPr>
              <w:t>元/公斤</w:t>
            </w:r>
          </w:p>
        </w:tc>
        <w:tc>
          <w:tcPr>
            <w:tcW w:w="879" w:type="pct"/>
            <w:vAlign w:val="center"/>
          </w:tcPr>
          <w:p w14:paraId="19C658AA">
            <w:pPr>
              <w:adjustRightInd w:val="0"/>
              <w:snapToGrid w:val="0"/>
              <w:jc w:val="center"/>
              <w:rPr>
                <w:rFonts w:hint="default" w:ascii="Times New Roman" w:hAnsi="Times New Roman" w:eastAsia="宋体" w:cs="Times New Roman"/>
                <w:bCs/>
                <w:kern w:val="18"/>
                <w:szCs w:val="21"/>
                <w:lang w:val="en-US" w:eastAsia="zh-CN"/>
              </w:rPr>
            </w:pPr>
            <w:r>
              <w:rPr>
                <w:rFonts w:hint="eastAsia" w:ascii="Times New Roman" w:hAnsi="Times New Roman" w:eastAsia="宋体" w:cs="Times New Roman"/>
                <w:bCs/>
                <w:kern w:val="18"/>
                <w:szCs w:val="21"/>
                <w:lang w:val="en-US" w:eastAsia="zh-CN"/>
              </w:rPr>
              <w:t>7.634</w:t>
            </w:r>
          </w:p>
        </w:tc>
        <w:tc>
          <w:tcPr>
            <w:tcW w:w="1326" w:type="dxa"/>
            <w:vAlign w:val="center"/>
          </w:tcPr>
          <w:p w14:paraId="04BD1748">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textAlignment w:val="auto"/>
              <w:rPr>
                <w:rFonts w:ascii="Times New Roman" w:hAnsi="Times New Roman" w:eastAsia="宋体" w:cs="Times New Roman"/>
                <w:bCs/>
                <w:kern w:val="18"/>
                <w:szCs w:val="21"/>
              </w:rPr>
            </w:pPr>
            <w:r>
              <w:rPr>
                <w:rFonts w:hint="eastAsia" w:ascii="宋体" w:hAnsi="宋体" w:eastAsia="宋体" w:cs="宋体"/>
                <w:snapToGrid w:val="0"/>
                <w:kern w:val="0"/>
                <w:sz w:val="22"/>
                <w:szCs w:val="20"/>
                <w:highlight w:val="none"/>
                <w:lang w:val="en-US" w:eastAsia="zh-CN"/>
              </w:rPr>
              <w:t>5.67</w:t>
            </w:r>
          </w:p>
        </w:tc>
        <w:tc>
          <w:tcPr>
            <w:tcW w:w="1227" w:type="pct"/>
            <w:vAlign w:val="center"/>
          </w:tcPr>
          <w:p w14:paraId="7314A9DE">
            <w:pPr>
              <w:adjustRightInd w:val="0"/>
              <w:snapToGrid w:val="0"/>
              <w:jc w:val="center"/>
              <w:rPr>
                <w:rFonts w:hint="default" w:ascii="Times New Roman" w:hAnsi="Times New Roman" w:eastAsia="宋体" w:cs="Times New Roman"/>
                <w:bCs/>
                <w:kern w:val="18"/>
                <w:szCs w:val="21"/>
                <w:lang w:val="en-US" w:eastAsia="zh-CN"/>
              </w:rPr>
            </w:pPr>
            <w:r>
              <w:rPr>
                <w:rFonts w:hint="eastAsia" w:ascii="Times New Roman" w:hAnsi="Times New Roman" w:eastAsia="宋体" w:cs="Times New Roman"/>
                <w:bCs/>
                <w:kern w:val="18"/>
                <w:szCs w:val="21"/>
                <w:lang w:val="en-US" w:eastAsia="zh-CN"/>
              </w:rPr>
              <w:t>1.964</w:t>
            </w:r>
          </w:p>
        </w:tc>
      </w:tr>
      <w:tr w14:paraId="0F38B3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212" w:type="pct"/>
            <w:vAlign w:val="center"/>
          </w:tcPr>
          <w:p w14:paraId="0C6097C4">
            <w:pPr>
              <w:adjustRightInd w:val="0"/>
              <w:snapToGrid w:val="0"/>
              <w:jc w:val="center"/>
              <w:rPr>
                <w:rFonts w:ascii="Times New Roman" w:hAnsi="Times New Roman" w:eastAsia="宋体" w:cs="Times New Roman"/>
                <w:bCs/>
                <w:kern w:val="18"/>
                <w:szCs w:val="21"/>
              </w:rPr>
            </w:pPr>
            <w:r>
              <w:rPr>
                <w:rFonts w:ascii="Times New Roman" w:hAnsi="Times New Roman" w:eastAsia="宋体" w:cs="Times New Roman"/>
                <w:bCs/>
                <w:kern w:val="18"/>
                <w:szCs w:val="21"/>
              </w:rPr>
              <w:t>汽油</w:t>
            </w:r>
          </w:p>
        </w:tc>
        <w:tc>
          <w:tcPr>
            <w:tcW w:w="881" w:type="pct"/>
            <w:vAlign w:val="center"/>
          </w:tcPr>
          <w:p w14:paraId="67764534">
            <w:pPr>
              <w:adjustRightInd w:val="0"/>
              <w:snapToGrid w:val="0"/>
              <w:jc w:val="center"/>
              <w:rPr>
                <w:rFonts w:ascii="Times New Roman" w:hAnsi="Times New Roman" w:eastAsia="宋体" w:cs="Times New Roman"/>
                <w:bCs/>
                <w:kern w:val="18"/>
                <w:szCs w:val="21"/>
              </w:rPr>
            </w:pPr>
            <w:r>
              <w:rPr>
                <w:rFonts w:ascii="Times New Roman" w:hAnsi="Times New Roman" w:eastAsia="宋体" w:cs="Times New Roman"/>
                <w:bCs/>
                <w:kern w:val="18"/>
                <w:szCs w:val="21"/>
              </w:rPr>
              <w:t>元/公斤</w:t>
            </w:r>
          </w:p>
        </w:tc>
        <w:tc>
          <w:tcPr>
            <w:tcW w:w="879" w:type="pct"/>
            <w:vAlign w:val="center"/>
          </w:tcPr>
          <w:p w14:paraId="0FF83518">
            <w:pPr>
              <w:adjustRightInd w:val="0"/>
              <w:snapToGrid w:val="0"/>
              <w:jc w:val="center"/>
              <w:rPr>
                <w:rFonts w:hint="default" w:ascii="Times New Roman" w:hAnsi="Times New Roman" w:eastAsia="宋体" w:cs="Times New Roman"/>
                <w:bCs/>
                <w:kern w:val="18"/>
                <w:szCs w:val="21"/>
                <w:lang w:val="en-US" w:eastAsia="zh-CN"/>
              </w:rPr>
            </w:pPr>
            <w:r>
              <w:rPr>
                <w:rFonts w:hint="eastAsia" w:ascii="Times New Roman" w:hAnsi="Times New Roman" w:eastAsia="宋体" w:cs="Times New Roman"/>
                <w:bCs/>
                <w:kern w:val="18"/>
                <w:szCs w:val="21"/>
                <w:lang w:val="en-US" w:eastAsia="zh-CN"/>
              </w:rPr>
              <w:t>8.565</w:t>
            </w:r>
          </w:p>
        </w:tc>
        <w:tc>
          <w:tcPr>
            <w:tcW w:w="1326" w:type="dxa"/>
            <w:vAlign w:val="center"/>
          </w:tcPr>
          <w:p w14:paraId="12066FBB">
            <w:pPr>
              <w:keepNext w:val="0"/>
              <w:keepLines w:val="0"/>
              <w:pageBreakBefore w:val="0"/>
              <w:widowControl w:val="0"/>
              <w:kinsoku/>
              <w:wordWrap/>
              <w:overflowPunct/>
              <w:topLinePunct w:val="0"/>
              <w:autoSpaceDE/>
              <w:autoSpaceDN/>
              <w:bidi w:val="0"/>
              <w:adjustRightInd w:val="0"/>
              <w:snapToGrid w:val="0"/>
              <w:spacing w:line="240" w:lineRule="exact"/>
              <w:ind w:firstLine="0" w:firstLineChars="0"/>
              <w:jc w:val="center"/>
              <w:textAlignment w:val="auto"/>
              <w:rPr>
                <w:rFonts w:ascii="Times New Roman" w:hAnsi="Times New Roman" w:eastAsia="宋体" w:cs="Times New Roman"/>
                <w:bCs/>
                <w:kern w:val="18"/>
                <w:szCs w:val="21"/>
              </w:rPr>
            </w:pPr>
            <w:r>
              <w:rPr>
                <w:rFonts w:hint="eastAsia" w:ascii="宋体" w:hAnsi="宋体" w:eastAsia="宋体" w:cs="宋体"/>
                <w:snapToGrid w:val="0"/>
                <w:kern w:val="0"/>
                <w:sz w:val="22"/>
                <w:szCs w:val="20"/>
                <w:highlight w:val="none"/>
              </w:rPr>
              <w:t>6.</w:t>
            </w:r>
            <w:r>
              <w:rPr>
                <w:rFonts w:hint="eastAsia" w:ascii="宋体" w:hAnsi="宋体" w:eastAsia="宋体" w:cs="宋体"/>
                <w:snapToGrid w:val="0"/>
                <w:kern w:val="0"/>
                <w:sz w:val="22"/>
                <w:szCs w:val="20"/>
                <w:highlight w:val="none"/>
                <w:lang w:val="en-US" w:eastAsia="zh-CN"/>
              </w:rPr>
              <w:t>55</w:t>
            </w:r>
          </w:p>
        </w:tc>
        <w:tc>
          <w:tcPr>
            <w:tcW w:w="1227" w:type="pct"/>
            <w:vAlign w:val="center"/>
          </w:tcPr>
          <w:p w14:paraId="066D8AEA">
            <w:pPr>
              <w:adjustRightInd w:val="0"/>
              <w:snapToGrid w:val="0"/>
              <w:jc w:val="center"/>
              <w:rPr>
                <w:rFonts w:hint="default" w:ascii="Times New Roman" w:hAnsi="Times New Roman" w:eastAsia="宋体" w:cs="Times New Roman"/>
                <w:bCs/>
                <w:kern w:val="18"/>
                <w:szCs w:val="21"/>
                <w:lang w:val="en-US" w:eastAsia="zh-CN"/>
              </w:rPr>
            </w:pPr>
            <w:r>
              <w:rPr>
                <w:rFonts w:hint="eastAsia" w:ascii="Times New Roman" w:hAnsi="Times New Roman" w:eastAsia="宋体" w:cs="Times New Roman"/>
                <w:bCs/>
                <w:kern w:val="18"/>
                <w:szCs w:val="21"/>
                <w:lang w:val="en-US" w:eastAsia="zh-CN"/>
              </w:rPr>
              <w:t>2.015</w:t>
            </w:r>
          </w:p>
        </w:tc>
      </w:tr>
    </w:tbl>
    <w:p w14:paraId="1CAECF0D">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五</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机械台班单价</w:t>
      </w:r>
    </w:p>
    <w:p w14:paraId="7BC3F72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按《铁路工程材料基期价格》（TB/T 10813-2024）中的油燃料价格及基期综合工费标准、基期水电单价等计算出的台班单价作为基期施工机械台班单价及基期施工仪器仪表台班单价。</w:t>
      </w:r>
    </w:p>
    <w:p w14:paraId="362B317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编制期施工机械台班单价按编制期综合工费标准、油燃料价格单价计算。</w:t>
      </w:r>
    </w:p>
    <w:p w14:paraId="43C4C25B">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六</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水、电单价</w:t>
      </w:r>
    </w:p>
    <w:p w14:paraId="68ABB65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依据“TB/T 10813-2024号文”的规定，水的基期价格为0.55元/吨，电的基期价格为0.47元/度。</w:t>
      </w:r>
    </w:p>
    <w:p w14:paraId="2082A88B">
      <w:pPr>
        <w:autoSpaceDE w:val="0"/>
        <w:autoSpaceDN w:val="0"/>
        <w:adjustRightInd w:val="0"/>
        <w:snapToGrid w:val="0"/>
        <w:ind w:firstLine="570"/>
        <w:rPr>
          <w:rFonts w:ascii="Times New Roman" w:hAnsi="Times New Roman" w:eastAsia="宋体" w:cs="Times New Roman"/>
          <w:b/>
          <w:bCs/>
          <w:sz w:val="28"/>
          <w:szCs w:val="21"/>
        </w:rPr>
      </w:pPr>
      <w:r>
        <w:rPr>
          <w:rFonts w:ascii="Times New Roman" w:hAnsi="Times New Roman" w:eastAsia="宋体" w:cs="Times New Roman"/>
          <w:b/>
          <w:bCs/>
          <w:szCs w:val="21"/>
        </w:rPr>
        <w:t>单位：元</w:t>
      </w:r>
      <w:r>
        <w:rPr>
          <w:rFonts w:ascii="Times New Roman" w:hAnsi="Times New Roman" w:eastAsia="宋体" w:cs="Times New Roman"/>
          <w:b/>
          <w:bCs/>
          <w:sz w:val="24"/>
          <w:szCs w:val="24"/>
        </w:rPr>
        <w:t xml:space="preserve">                  </w:t>
      </w:r>
      <w:r>
        <w:rPr>
          <w:rFonts w:ascii="Times New Roman" w:hAnsi="Times New Roman" w:eastAsia="宋体" w:cs="Times New Roman"/>
          <w:b/>
          <w:bCs/>
          <w:sz w:val="28"/>
          <w:szCs w:val="28"/>
        </w:rPr>
        <w:t xml:space="preserve"> 水、电价差表     </w:t>
      </w:r>
      <w:r>
        <w:rPr>
          <w:rFonts w:ascii="Times New Roman" w:hAnsi="Times New Roman" w:eastAsia="宋体" w:cs="Times New Roman"/>
          <w:b/>
          <w:bCs/>
          <w:sz w:val="24"/>
          <w:szCs w:val="24"/>
        </w:rPr>
        <w:t xml:space="preserve">           </w:t>
      </w:r>
      <w:r>
        <w:rPr>
          <w:rFonts w:ascii="Times New Roman" w:hAnsi="Times New Roman" w:eastAsia="宋体" w:cs="Times New Roman"/>
          <w:b/>
          <w:bCs/>
          <w:sz w:val="28"/>
          <w:szCs w:val="21"/>
        </w:rPr>
        <w:t xml:space="preserve">  </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1802"/>
        <w:gridCol w:w="1640"/>
        <w:gridCol w:w="1318"/>
        <w:gridCol w:w="1638"/>
      </w:tblGrid>
      <w:tr w14:paraId="19A224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247" w:type="pct"/>
            <w:vAlign w:val="center"/>
          </w:tcPr>
          <w:p w14:paraId="2B5110EC">
            <w:pPr>
              <w:adjustRightInd w:val="0"/>
              <w:snapToGrid w:val="0"/>
              <w:jc w:val="center"/>
              <w:rPr>
                <w:rFonts w:ascii="Times New Roman" w:hAnsi="Times New Roman" w:eastAsia="宋体" w:cs="Times New Roman"/>
                <w:kern w:val="18"/>
                <w:szCs w:val="21"/>
              </w:rPr>
            </w:pPr>
            <w:r>
              <w:rPr>
                <w:rFonts w:ascii="Times New Roman" w:hAnsi="Times New Roman" w:eastAsia="宋体" w:cs="Times New Roman"/>
                <w:kern w:val="18"/>
                <w:szCs w:val="21"/>
              </w:rPr>
              <w:t>费 用 类 别</w:t>
            </w:r>
          </w:p>
        </w:tc>
        <w:tc>
          <w:tcPr>
            <w:tcW w:w="1057" w:type="pct"/>
            <w:vAlign w:val="center"/>
          </w:tcPr>
          <w:p w14:paraId="7AE68E6A">
            <w:pPr>
              <w:adjustRightInd w:val="0"/>
              <w:snapToGrid w:val="0"/>
              <w:jc w:val="center"/>
              <w:rPr>
                <w:rFonts w:ascii="Times New Roman" w:hAnsi="Times New Roman" w:eastAsia="宋体" w:cs="Times New Roman"/>
                <w:kern w:val="18"/>
                <w:szCs w:val="21"/>
              </w:rPr>
            </w:pPr>
            <w:r>
              <w:rPr>
                <w:rFonts w:ascii="Times New Roman" w:hAnsi="Times New Roman" w:eastAsia="宋体" w:cs="Times New Roman"/>
                <w:kern w:val="18"/>
                <w:szCs w:val="21"/>
              </w:rPr>
              <w:t>单  位</w:t>
            </w:r>
          </w:p>
        </w:tc>
        <w:tc>
          <w:tcPr>
            <w:tcW w:w="962" w:type="pct"/>
            <w:vAlign w:val="center"/>
          </w:tcPr>
          <w:p w14:paraId="3F3FE0CF">
            <w:pPr>
              <w:adjustRightInd w:val="0"/>
              <w:snapToGrid w:val="0"/>
              <w:jc w:val="center"/>
              <w:rPr>
                <w:rFonts w:ascii="Times New Roman" w:hAnsi="Times New Roman" w:eastAsia="宋体" w:cs="Times New Roman"/>
                <w:kern w:val="18"/>
                <w:szCs w:val="21"/>
              </w:rPr>
            </w:pPr>
            <w:r>
              <w:rPr>
                <w:rFonts w:ascii="Times New Roman" w:hAnsi="Times New Roman" w:eastAsia="宋体" w:cs="Times New Roman"/>
                <w:kern w:val="18"/>
                <w:szCs w:val="21"/>
              </w:rPr>
              <w:t>编制期价</w:t>
            </w:r>
          </w:p>
        </w:tc>
        <w:tc>
          <w:tcPr>
            <w:tcW w:w="773" w:type="pct"/>
            <w:vAlign w:val="center"/>
          </w:tcPr>
          <w:p w14:paraId="7C69373F">
            <w:pPr>
              <w:adjustRightInd w:val="0"/>
              <w:snapToGrid w:val="0"/>
              <w:jc w:val="center"/>
              <w:rPr>
                <w:rFonts w:ascii="Times New Roman" w:hAnsi="Times New Roman" w:eastAsia="宋体" w:cs="Times New Roman"/>
                <w:kern w:val="18"/>
                <w:szCs w:val="21"/>
              </w:rPr>
            </w:pPr>
            <w:r>
              <w:rPr>
                <w:rFonts w:ascii="Times New Roman" w:hAnsi="Times New Roman" w:eastAsia="宋体" w:cs="Times New Roman"/>
                <w:kern w:val="18"/>
                <w:szCs w:val="21"/>
              </w:rPr>
              <w:t>基期价</w:t>
            </w:r>
          </w:p>
        </w:tc>
        <w:tc>
          <w:tcPr>
            <w:tcW w:w="961" w:type="pct"/>
            <w:vAlign w:val="center"/>
          </w:tcPr>
          <w:p w14:paraId="0CB98E05">
            <w:pPr>
              <w:adjustRightInd w:val="0"/>
              <w:snapToGrid w:val="0"/>
              <w:jc w:val="center"/>
              <w:rPr>
                <w:rFonts w:ascii="Times New Roman" w:hAnsi="Times New Roman" w:eastAsia="宋体" w:cs="Times New Roman"/>
                <w:kern w:val="18"/>
                <w:szCs w:val="21"/>
              </w:rPr>
            </w:pPr>
            <w:r>
              <w:rPr>
                <w:rFonts w:ascii="Times New Roman" w:hAnsi="Times New Roman" w:eastAsia="宋体" w:cs="Times New Roman"/>
                <w:kern w:val="18"/>
                <w:szCs w:val="21"/>
              </w:rPr>
              <w:t>单 价 差</w:t>
            </w:r>
          </w:p>
        </w:tc>
      </w:tr>
      <w:tr w14:paraId="3103CA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247" w:type="pct"/>
            <w:vAlign w:val="center"/>
          </w:tcPr>
          <w:p w14:paraId="2DBEEC83">
            <w:pPr>
              <w:adjustRightInd w:val="0"/>
              <w:snapToGrid w:val="0"/>
              <w:jc w:val="center"/>
              <w:rPr>
                <w:rFonts w:ascii="Times New Roman" w:hAnsi="Times New Roman" w:eastAsia="宋体" w:cs="Times New Roman"/>
                <w:bCs/>
                <w:kern w:val="18"/>
                <w:szCs w:val="21"/>
              </w:rPr>
            </w:pPr>
            <w:r>
              <w:rPr>
                <w:rFonts w:ascii="Times New Roman" w:hAnsi="Times New Roman" w:eastAsia="宋体" w:cs="Times New Roman"/>
                <w:bCs/>
                <w:kern w:val="18"/>
                <w:szCs w:val="21"/>
              </w:rPr>
              <w:t>水</w:t>
            </w:r>
          </w:p>
        </w:tc>
        <w:tc>
          <w:tcPr>
            <w:tcW w:w="1057" w:type="pct"/>
            <w:vAlign w:val="center"/>
          </w:tcPr>
          <w:p w14:paraId="5A6B8A30">
            <w:pPr>
              <w:adjustRightInd w:val="0"/>
              <w:snapToGrid w:val="0"/>
              <w:jc w:val="center"/>
              <w:rPr>
                <w:rFonts w:ascii="Times New Roman" w:hAnsi="Times New Roman" w:eastAsia="宋体" w:cs="Times New Roman"/>
                <w:bCs/>
                <w:kern w:val="18"/>
                <w:szCs w:val="21"/>
              </w:rPr>
            </w:pPr>
            <w:r>
              <w:rPr>
                <w:rFonts w:ascii="Times New Roman" w:hAnsi="Times New Roman" w:eastAsia="宋体" w:cs="Times New Roman"/>
                <w:bCs/>
                <w:kern w:val="18"/>
                <w:szCs w:val="21"/>
              </w:rPr>
              <w:t>元/立方米</w:t>
            </w:r>
          </w:p>
        </w:tc>
        <w:tc>
          <w:tcPr>
            <w:tcW w:w="962" w:type="pct"/>
            <w:vAlign w:val="center"/>
          </w:tcPr>
          <w:p w14:paraId="38A9CAB9">
            <w:pPr>
              <w:adjustRightInd w:val="0"/>
              <w:snapToGrid w:val="0"/>
              <w:jc w:val="center"/>
              <w:rPr>
                <w:rFonts w:hint="default" w:ascii="Times New Roman" w:hAnsi="Times New Roman" w:eastAsia="宋体" w:cs="Times New Roman"/>
                <w:bCs/>
                <w:kern w:val="18"/>
                <w:szCs w:val="21"/>
                <w:lang w:val="en-US" w:eastAsia="zh-CN"/>
              </w:rPr>
            </w:pPr>
            <w:r>
              <w:rPr>
                <w:rFonts w:hint="eastAsia" w:ascii="Times New Roman" w:hAnsi="Times New Roman" w:eastAsia="宋体" w:cs="Times New Roman"/>
                <w:bCs/>
                <w:kern w:val="18"/>
                <w:szCs w:val="21"/>
                <w:lang w:val="en-US" w:eastAsia="zh-CN"/>
              </w:rPr>
              <w:t>3.58</w:t>
            </w:r>
          </w:p>
        </w:tc>
        <w:tc>
          <w:tcPr>
            <w:tcW w:w="1279" w:type="dxa"/>
            <w:vAlign w:val="center"/>
          </w:tcPr>
          <w:p w14:paraId="5EAFA251">
            <w:pPr>
              <w:keepNext w:val="0"/>
              <w:keepLines w:val="0"/>
              <w:pageBreakBefore w:val="0"/>
              <w:widowControl w:val="0"/>
              <w:kinsoku/>
              <w:wordWrap/>
              <w:overflowPunct/>
              <w:topLinePunct w:val="0"/>
              <w:autoSpaceDE/>
              <w:autoSpaceDN/>
              <w:bidi w:val="0"/>
              <w:adjustRightInd w:val="0"/>
              <w:snapToGrid w:val="0"/>
              <w:spacing w:line="260" w:lineRule="exact"/>
              <w:ind w:firstLine="0" w:firstLineChars="0"/>
              <w:jc w:val="center"/>
              <w:textAlignment w:val="auto"/>
              <w:rPr>
                <w:rFonts w:ascii="Times New Roman" w:hAnsi="Times New Roman" w:eastAsia="宋体" w:cs="Times New Roman"/>
                <w:bCs/>
                <w:kern w:val="18"/>
                <w:szCs w:val="21"/>
              </w:rPr>
            </w:pPr>
            <w:r>
              <w:rPr>
                <w:rFonts w:hint="eastAsia" w:ascii="宋体" w:hAnsi="宋体" w:eastAsia="宋体" w:cs="宋体"/>
                <w:snapToGrid w:val="0"/>
                <w:kern w:val="0"/>
                <w:sz w:val="22"/>
                <w:szCs w:val="20"/>
                <w:highlight w:val="none"/>
                <w:lang w:val="en-US" w:eastAsia="zh-CN"/>
              </w:rPr>
              <w:t>0.55</w:t>
            </w:r>
          </w:p>
        </w:tc>
        <w:tc>
          <w:tcPr>
            <w:tcW w:w="961" w:type="pct"/>
            <w:vAlign w:val="center"/>
          </w:tcPr>
          <w:p w14:paraId="2563A318">
            <w:pPr>
              <w:adjustRightInd w:val="0"/>
              <w:snapToGrid w:val="0"/>
              <w:jc w:val="center"/>
              <w:rPr>
                <w:rFonts w:hint="default" w:ascii="Times New Roman" w:hAnsi="Times New Roman" w:eastAsia="宋体" w:cs="Times New Roman"/>
                <w:bCs/>
                <w:kern w:val="18"/>
                <w:szCs w:val="21"/>
                <w:lang w:val="en-US" w:eastAsia="zh-CN"/>
              </w:rPr>
            </w:pPr>
            <w:r>
              <w:rPr>
                <w:rFonts w:hint="eastAsia" w:ascii="Times New Roman" w:hAnsi="Times New Roman" w:eastAsia="宋体" w:cs="Times New Roman"/>
                <w:bCs/>
                <w:kern w:val="18"/>
                <w:szCs w:val="21"/>
                <w:lang w:val="en-US" w:eastAsia="zh-CN"/>
              </w:rPr>
              <w:t>3.03</w:t>
            </w:r>
          </w:p>
        </w:tc>
      </w:tr>
      <w:tr w14:paraId="3B3EA6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247" w:type="pct"/>
            <w:vAlign w:val="center"/>
          </w:tcPr>
          <w:p w14:paraId="2F6ED536">
            <w:pPr>
              <w:adjustRightInd w:val="0"/>
              <w:snapToGrid w:val="0"/>
              <w:jc w:val="center"/>
              <w:rPr>
                <w:rFonts w:ascii="Times New Roman" w:hAnsi="Times New Roman" w:eastAsia="宋体" w:cs="Times New Roman"/>
                <w:bCs/>
                <w:kern w:val="18"/>
                <w:szCs w:val="21"/>
              </w:rPr>
            </w:pPr>
            <w:r>
              <w:rPr>
                <w:rFonts w:ascii="Times New Roman" w:hAnsi="Times New Roman" w:eastAsia="宋体" w:cs="Times New Roman"/>
                <w:bCs/>
                <w:kern w:val="18"/>
                <w:szCs w:val="21"/>
              </w:rPr>
              <w:t>电</w:t>
            </w:r>
          </w:p>
        </w:tc>
        <w:tc>
          <w:tcPr>
            <w:tcW w:w="1057" w:type="pct"/>
            <w:vAlign w:val="center"/>
          </w:tcPr>
          <w:p w14:paraId="1DEBE6CB">
            <w:pPr>
              <w:adjustRightInd w:val="0"/>
              <w:snapToGrid w:val="0"/>
              <w:jc w:val="center"/>
              <w:rPr>
                <w:rFonts w:ascii="Times New Roman" w:hAnsi="Times New Roman" w:eastAsia="宋体" w:cs="Times New Roman"/>
                <w:bCs/>
                <w:kern w:val="18"/>
                <w:szCs w:val="21"/>
              </w:rPr>
            </w:pPr>
            <w:r>
              <w:rPr>
                <w:rFonts w:ascii="Times New Roman" w:hAnsi="Times New Roman" w:eastAsia="宋体" w:cs="Times New Roman"/>
                <w:bCs/>
                <w:kern w:val="18"/>
                <w:szCs w:val="21"/>
              </w:rPr>
              <w:t>元/度</w:t>
            </w:r>
          </w:p>
        </w:tc>
        <w:tc>
          <w:tcPr>
            <w:tcW w:w="962" w:type="pct"/>
            <w:vAlign w:val="center"/>
          </w:tcPr>
          <w:p w14:paraId="06654113">
            <w:pPr>
              <w:adjustRightInd w:val="0"/>
              <w:snapToGrid w:val="0"/>
              <w:jc w:val="center"/>
              <w:rPr>
                <w:rFonts w:hint="default" w:ascii="Times New Roman" w:hAnsi="Times New Roman" w:eastAsia="宋体" w:cs="Times New Roman"/>
                <w:bCs/>
                <w:kern w:val="18"/>
                <w:szCs w:val="21"/>
                <w:lang w:val="en-US" w:eastAsia="zh-CN"/>
              </w:rPr>
            </w:pPr>
            <w:r>
              <w:rPr>
                <w:rFonts w:ascii="Times New Roman" w:hAnsi="Times New Roman" w:eastAsia="宋体" w:cs="Times New Roman"/>
                <w:bCs/>
                <w:kern w:val="18"/>
                <w:szCs w:val="21"/>
              </w:rPr>
              <w:t>0.</w:t>
            </w:r>
            <w:r>
              <w:rPr>
                <w:rFonts w:hint="eastAsia" w:ascii="Times New Roman" w:hAnsi="Times New Roman" w:eastAsia="宋体" w:cs="Times New Roman"/>
                <w:bCs/>
                <w:kern w:val="18"/>
                <w:szCs w:val="21"/>
                <w:lang w:val="en-US" w:eastAsia="zh-CN"/>
              </w:rPr>
              <w:t>58</w:t>
            </w:r>
          </w:p>
        </w:tc>
        <w:tc>
          <w:tcPr>
            <w:tcW w:w="1279" w:type="dxa"/>
            <w:vAlign w:val="center"/>
          </w:tcPr>
          <w:p w14:paraId="2773526F">
            <w:pPr>
              <w:keepNext w:val="0"/>
              <w:keepLines w:val="0"/>
              <w:pageBreakBefore w:val="0"/>
              <w:widowControl w:val="0"/>
              <w:kinsoku/>
              <w:wordWrap/>
              <w:overflowPunct/>
              <w:topLinePunct w:val="0"/>
              <w:autoSpaceDE/>
              <w:autoSpaceDN/>
              <w:bidi w:val="0"/>
              <w:adjustRightInd w:val="0"/>
              <w:snapToGrid w:val="0"/>
              <w:spacing w:line="260" w:lineRule="exact"/>
              <w:ind w:firstLine="0" w:firstLineChars="0"/>
              <w:jc w:val="center"/>
              <w:textAlignment w:val="auto"/>
              <w:rPr>
                <w:rFonts w:ascii="Times New Roman" w:hAnsi="Times New Roman" w:eastAsia="宋体" w:cs="Times New Roman"/>
                <w:bCs/>
                <w:kern w:val="18"/>
                <w:szCs w:val="21"/>
              </w:rPr>
            </w:pPr>
            <w:r>
              <w:rPr>
                <w:rFonts w:hint="eastAsia" w:ascii="宋体" w:hAnsi="宋体" w:eastAsia="宋体" w:cs="宋体"/>
                <w:snapToGrid w:val="0"/>
                <w:kern w:val="0"/>
                <w:sz w:val="22"/>
                <w:szCs w:val="20"/>
                <w:highlight w:val="none"/>
              </w:rPr>
              <w:t>0.47</w:t>
            </w:r>
          </w:p>
        </w:tc>
        <w:tc>
          <w:tcPr>
            <w:tcW w:w="961" w:type="pct"/>
            <w:vAlign w:val="center"/>
          </w:tcPr>
          <w:p w14:paraId="2D50B913">
            <w:pPr>
              <w:adjustRightInd w:val="0"/>
              <w:snapToGrid w:val="0"/>
              <w:jc w:val="center"/>
              <w:rPr>
                <w:rFonts w:hint="eastAsia" w:ascii="Times New Roman" w:hAnsi="Times New Roman" w:eastAsia="宋体" w:cs="Times New Roman"/>
                <w:bCs/>
                <w:kern w:val="18"/>
                <w:szCs w:val="21"/>
                <w:lang w:eastAsia="zh-CN"/>
              </w:rPr>
            </w:pPr>
            <w:r>
              <w:rPr>
                <w:rFonts w:ascii="Times New Roman" w:hAnsi="Times New Roman" w:eastAsia="宋体" w:cs="Times New Roman"/>
                <w:bCs/>
                <w:kern w:val="18"/>
                <w:szCs w:val="21"/>
              </w:rPr>
              <w:t>0.1</w:t>
            </w:r>
            <w:r>
              <w:rPr>
                <w:rFonts w:hint="eastAsia" w:ascii="Times New Roman" w:hAnsi="Times New Roman" w:eastAsia="宋体" w:cs="Times New Roman"/>
                <w:bCs/>
                <w:kern w:val="18"/>
                <w:szCs w:val="21"/>
                <w:lang w:val="en-US" w:eastAsia="zh-CN"/>
              </w:rPr>
              <w:t>1</w:t>
            </w:r>
          </w:p>
        </w:tc>
      </w:tr>
    </w:tbl>
    <w:p w14:paraId="520E8918">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七</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运输及装卸费</w:t>
      </w:r>
    </w:p>
    <w:p w14:paraId="29C3B31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bookmarkStart w:id="24" w:name="_Toc527712088"/>
      <w:bookmarkStart w:id="25" w:name="_Toc48224431"/>
      <w:bookmarkStart w:id="26" w:name="_Toc46872353"/>
      <w:bookmarkStart w:id="27" w:name="_Toc47989598"/>
      <w:r>
        <w:rPr>
          <w:rFonts w:hint="eastAsia" w:ascii="Times New Roman" w:hAnsi="Times New Roman" w:eastAsia="宋体" w:cs="Times New Roman"/>
          <w:sz w:val="28"/>
          <w:szCs w:val="28"/>
          <w:lang w:val="en-US" w:eastAsia="zh-CN"/>
        </w:rPr>
        <w:t>1、火车运价</w:t>
      </w:r>
    </w:p>
    <w:p w14:paraId="21AC289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按照“TB 10811-2024号文”表2.4.1规定，调整为按不含增值税可抵扣进项税额的价格直接算至编制期水平。</w:t>
      </w:r>
    </w:p>
    <w:p w14:paraId="214EB35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2、汽车运价</w:t>
      </w:r>
    </w:p>
    <w:p w14:paraId="3509891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执行“TB 10811-2024号文”规定及工程所在地区规定的汽车运价，考虑公路与便道运输比例以及公路过路费、过桥费等，综合运价按0.55元/吨∙公里计算。</w:t>
      </w:r>
    </w:p>
    <w:p w14:paraId="50CBD1A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3、火车、汽车装卸费单价</w:t>
      </w:r>
    </w:p>
    <w:p w14:paraId="2E2A0603">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eastAsia="宋体" w:cs="Times New Roman"/>
          <w:szCs w:val="21"/>
        </w:rPr>
      </w:pPr>
      <w:r>
        <w:rPr>
          <w:rFonts w:ascii="Times New Roman" w:hAnsi="Times New Roman" w:eastAsia="宋体" w:cs="Times New Roman"/>
          <w:b/>
          <w:szCs w:val="21"/>
        </w:rPr>
        <w:t>单位：元/吨</w:t>
      </w:r>
      <w:r>
        <w:rPr>
          <w:rFonts w:ascii="Times New Roman" w:hAnsi="Times New Roman" w:eastAsia="宋体" w:cs="Times New Roman"/>
          <w:b/>
          <w:sz w:val="28"/>
          <w:szCs w:val="28"/>
        </w:rPr>
        <w:t xml:space="preserve"> </w:t>
      </w:r>
      <w:r>
        <w:rPr>
          <w:rFonts w:ascii="Times New Roman" w:hAnsi="Times New Roman" w:eastAsia="宋体" w:cs="Times New Roman"/>
          <w:sz w:val="28"/>
          <w:szCs w:val="28"/>
        </w:rPr>
        <w:t xml:space="preserve">            </w:t>
      </w:r>
      <w:r>
        <w:rPr>
          <w:rFonts w:ascii="Times New Roman" w:hAnsi="Times New Roman" w:eastAsia="宋体" w:cs="Times New Roman"/>
          <w:b/>
          <w:sz w:val="28"/>
          <w:szCs w:val="28"/>
        </w:rPr>
        <w:t>火车、汽车装卸费单价</w:t>
      </w:r>
      <w:r>
        <w:rPr>
          <w:rFonts w:ascii="Times New Roman" w:hAnsi="Times New Roman" w:eastAsia="宋体" w:cs="Times New Roman"/>
          <w:sz w:val="28"/>
          <w:szCs w:val="28"/>
        </w:rPr>
        <w:t xml:space="preserve">             </w:t>
      </w:r>
      <w:r>
        <w:rPr>
          <w:rFonts w:ascii="Times New Roman" w:hAnsi="Times New Roman" w:eastAsia="宋体" w:cs="Times New Roman"/>
          <w:b/>
          <w:szCs w:val="21"/>
        </w:rPr>
        <w:t xml:space="preserve"> </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4026"/>
        <w:gridCol w:w="2908"/>
      </w:tblGrid>
      <w:tr w14:paraId="60D7A9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2" w:type="pct"/>
            <w:shd w:val="clear" w:color="auto" w:fill="auto"/>
            <w:vAlign w:val="center"/>
          </w:tcPr>
          <w:p w14:paraId="29C0E392">
            <w:pPr>
              <w:adjustRightInd w:val="0"/>
              <w:jc w:val="center"/>
              <w:rPr>
                <w:rFonts w:ascii="Times New Roman" w:hAnsi="Times New Roman" w:eastAsia="宋体" w:cs="Times New Roman"/>
                <w:kern w:val="18"/>
                <w:szCs w:val="21"/>
              </w:rPr>
            </w:pPr>
            <w:r>
              <w:rPr>
                <w:rFonts w:ascii="Times New Roman" w:hAnsi="Times New Roman" w:eastAsia="宋体" w:cs="Times New Roman"/>
                <w:kern w:val="18"/>
                <w:szCs w:val="21"/>
              </w:rPr>
              <w:t>一般材料</w:t>
            </w:r>
          </w:p>
        </w:tc>
        <w:tc>
          <w:tcPr>
            <w:tcW w:w="2362" w:type="pct"/>
            <w:shd w:val="clear" w:color="auto" w:fill="auto"/>
            <w:vAlign w:val="center"/>
          </w:tcPr>
          <w:p w14:paraId="63079976">
            <w:pPr>
              <w:adjustRightInd w:val="0"/>
              <w:jc w:val="center"/>
              <w:rPr>
                <w:rFonts w:ascii="Times New Roman" w:hAnsi="Times New Roman" w:eastAsia="宋体" w:cs="Times New Roman"/>
                <w:kern w:val="18"/>
                <w:szCs w:val="21"/>
              </w:rPr>
            </w:pPr>
            <w:r>
              <w:rPr>
                <w:rFonts w:ascii="Times New Roman" w:hAnsi="Times New Roman" w:eastAsia="宋体" w:cs="Times New Roman"/>
                <w:kern w:val="18"/>
                <w:szCs w:val="21"/>
              </w:rPr>
              <w:t>钢轨、道岔、接触网支柱</w:t>
            </w:r>
          </w:p>
        </w:tc>
        <w:tc>
          <w:tcPr>
            <w:tcW w:w="1706" w:type="pct"/>
            <w:shd w:val="clear" w:color="auto" w:fill="auto"/>
            <w:vAlign w:val="center"/>
          </w:tcPr>
          <w:p w14:paraId="712D8322">
            <w:pPr>
              <w:adjustRightInd w:val="0"/>
              <w:jc w:val="center"/>
              <w:rPr>
                <w:rFonts w:ascii="Times New Roman" w:hAnsi="Times New Roman" w:eastAsia="宋体" w:cs="Times New Roman"/>
                <w:kern w:val="18"/>
                <w:szCs w:val="21"/>
              </w:rPr>
            </w:pPr>
            <w:r>
              <w:rPr>
                <w:rFonts w:ascii="Times New Roman" w:hAnsi="Times New Roman" w:eastAsia="宋体" w:cs="Times New Roman"/>
                <w:kern w:val="18"/>
                <w:szCs w:val="21"/>
              </w:rPr>
              <w:t>其他1t以上的构件</w:t>
            </w:r>
          </w:p>
        </w:tc>
      </w:tr>
      <w:tr w14:paraId="442C7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42" w:type="dxa"/>
            <w:shd w:val="clear" w:color="auto" w:fill="auto"/>
            <w:vAlign w:val="center"/>
          </w:tcPr>
          <w:p w14:paraId="522CFAEC">
            <w:pPr>
              <w:keepNext w:val="0"/>
              <w:keepLines w:val="0"/>
              <w:pageBreakBefore w:val="0"/>
              <w:widowControl w:val="0"/>
              <w:kinsoku/>
              <w:wordWrap/>
              <w:overflowPunct/>
              <w:topLinePunct w:val="0"/>
              <w:autoSpaceDE/>
              <w:autoSpaceDN/>
              <w:bidi w:val="0"/>
              <w:adjustRightInd w:val="0"/>
              <w:snapToGrid w:val="0"/>
              <w:spacing w:line="280" w:lineRule="exact"/>
              <w:ind w:firstLine="0" w:firstLineChars="0"/>
              <w:jc w:val="center"/>
              <w:textAlignment w:val="auto"/>
              <w:rPr>
                <w:rFonts w:ascii="Times New Roman" w:hAnsi="Times New Roman" w:eastAsia="宋体" w:cs="Times New Roman"/>
                <w:bCs/>
                <w:kern w:val="18"/>
                <w:szCs w:val="21"/>
              </w:rPr>
            </w:pPr>
            <w:r>
              <w:rPr>
                <w:rFonts w:hint="eastAsia" w:ascii="宋体" w:hAnsi="宋体" w:eastAsia="宋体" w:cs="宋体"/>
                <w:snapToGrid w:val="0"/>
                <w:kern w:val="0"/>
                <w:sz w:val="22"/>
                <w:szCs w:val="20"/>
                <w:highlight w:val="none"/>
                <w:lang w:val="en-US" w:eastAsia="zh-CN"/>
              </w:rPr>
              <w:t>4.8</w:t>
            </w:r>
          </w:p>
        </w:tc>
        <w:tc>
          <w:tcPr>
            <w:tcW w:w="3910" w:type="dxa"/>
            <w:shd w:val="clear" w:color="auto" w:fill="auto"/>
            <w:vAlign w:val="center"/>
          </w:tcPr>
          <w:p w14:paraId="210FD787">
            <w:pPr>
              <w:keepNext w:val="0"/>
              <w:keepLines w:val="0"/>
              <w:pageBreakBefore w:val="0"/>
              <w:widowControl w:val="0"/>
              <w:kinsoku/>
              <w:wordWrap/>
              <w:overflowPunct/>
              <w:topLinePunct w:val="0"/>
              <w:autoSpaceDE/>
              <w:autoSpaceDN/>
              <w:bidi w:val="0"/>
              <w:adjustRightInd w:val="0"/>
              <w:snapToGrid w:val="0"/>
              <w:spacing w:line="280" w:lineRule="exact"/>
              <w:ind w:firstLine="0" w:firstLineChars="0"/>
              <w:jc w:val="center"/>
              <w:textAlignment w:val="auto"/>
              <w:rPr>
                <w:rFonts w:ascii="Times New Roman" w:hAnsi="Times New Roman" w:eastAsia="宋体" w:cs="Times New Roman"/>
                <w:bCs/>
                <w:kern w:val="18"/>
                <w:szCs w:val="21"/>
              </w:rPr>
            </w:pPr>
            <w:r>
              <w:rPr>
                <w:rFonts w:hint="eastAsia" w:ascii="宋体" w:hAnsi="宋体" w:eastAsia="宋体" w:cs="宋体"/>
                <w:snapToGrid w:val="0"/>
                <w:kern w:val="0"/>
                <w:sz w:val="22"/>
                <w:szCs w:val="20"/>
                <w:highlight w:val="none"/>
                <w:lang w:val="en-US" w:eastAsia="zh-CN"/>
              </w:rPr>
              <w:t>17.6</w:t>
            </w:r>
          </w:p>
        </w:tc>
        <w:tc>
          <w:tcPr>
            <w:tcW w:w="2824" w:type="dxa"/>
            <w:shd w:val="clear" w:color="auto" w:fill="auto"/>
            <w:vAlign w:val="center"/>
          </w:tcPr>
          <w:p w14:paraId="29D02C09">
            <w:pPr>
              <w:keepNext w:val="0"/>
              <w:keepLines w:val="0"/>
              <w:pageBreakBefore w:val="0"/>
              <w:widowControl w:val="0"/>
              <w:kinsoku/>
              <w:wordWrap/>
              <w:overflowPunct/>
              <w:topLinePunct w:val="0"/>
              <w:autoSpaceDE/>
              <w:autoSpaceDN/>
              <w:bidi w:val="0"/>
              <w:adjustRightInd w:val="0"/>
              <w:snapToGrid w:val="0"/>
              <w:spacing w:line="280" w:lineRule="exact"/>
              <w:ind w:firstLine="0" w:firstLineChars="0"/>
              <w:jc w:val="center"/>
              <w:textAlignment w:val="auto"/>
              <w:rPr>
                <w:rFonts w:ascii="Times New Roman" w:hAnsi="Times New Roman" w:eastAsia="宋体" w:cs="Times New Roman"/>
                <w:bCs/>
                <w:kern w:val="18"/>
                <w:szCs w:val="21"/>
              </w:rPr>
            </w:pPr>
            <w:r>
              <w:rPr>
                <w:rFonts w:hint="eastAsia" w:ascii="宋体" w:hAnsi="宋体" w:eastAsia="宋体" w:cs="宋体"/>
                <w:snapToGrid w:val="0"/>
                <w:kern w:val="0"/>
                <w:sz w:val="22"/>
                <w:szCs w:val="20"/>
                <w:highlight w:val="none"/>
                <w:lang w:val="en-US" w:eastAsia="zh-CN"/>
              </w:rPr>
              <w:t>11.8</w:t>
            </w:r>
          </w:p>
        </w:tc>
      </w:tr>
    </w:tbl>
    <w:p w14:paraId="002397F1">
      <w:pPr>
        <w:rPr>
          <w:rFonts w:ascii="Times New Roman" w:hAnsi="Times New Roman" w:eastAsia="宋体" w:cs="Times New Roman"/>
          <w:szCs w:val="24"/>
        </w:rPr>
      </w:pPr>
      <w:r>
        <w:rPr>
          <w:rFonts w:ascii="Times New Roman" w:hAnsi="Times New Roman" w:eastAsia="宋体" w:cs="Times New Roman"/>
          <w:szCs w:val="24"/>
        </w:rPr>
        <w:t>注：其中装占60%，卸占40%。</w:t>
      </w:r>
    </w:p>
    <w:p w14:paraId="7919C75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4、其他运输有关费用</w:t>
      </w:r>
    </w:p>
    <w:p w14:paraId="144BA84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调车费按“TB 10811-2024号文”规定《铁路货物运价规则》计列。</w:t>
      </w:r>
    </w:p>
    <w:p w14:paraId="283EF2AD">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八</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施工措施费</w:t>
      </w:r>
    </w:p>
    <w:p w14:paraId="390FD8F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本项费用以各类工程的基期人工费与基期施工机具使用费之和为计算基数，根据“TB 10811-2024号文”表2.6.1所规定的费率计算，施工措施费费率执行“TB 10811-2024号文”规定，按3类地区费率。</w:t>
      </w:r>
    </w:p>
    <w:p w14:paraId="7024E316">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九</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特殊施工增加费</w:t>
      </w:r>
    </w:p>
    <w:p w14:paraId="1CB368B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宋体" w:cs="Times New Roman"/>
          <w:kern w:val="44"/>
          <w:sz w:val="28"/>
          <w:szCs w:val="28"/>
        </w:rPr>
      </w:pPr>
      <w:r>
        <w:rPr>
          <w:rFonts w:hint="eastAsia" w:ascii="Times New Roman" w:hAnsi="Times New Roman" w:eastAsia="宋体" w:cs="Times New Roman"/>
          <w:sz w:val="28"/>
          <w:szCs w:val="28"/>
          <w:lang w:val="en-US" w:eastAsia="zh-CN"/>
        </w:rPr>
        <w:t>本工程不含特殊施工增加费。</w:t>
      </w:r>
    </w:p>
    <w:p w14:paraId="2106D511">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十</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间接费</w:t>
      </w:r>
    </w:p>
    <w:p w14:paraId="4D83CD2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包括企业管理费和利润。本项费用以以各类工程的基期人工费与基期施工机具使用费之和为基数乘以“TB 10811-2024号文”规定费率计算。</w:t>
      </w:r>
    </w:p>
    <w:p w14:paraId="226C14A3">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十一</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设备购置费</w:t>
      </w:r>
    </w:p>
    <w:p w14:paraId="07F810A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1、设备原价：按不含增值税可抵扣进项税额的设备原价计列。</w:t>
      </w:r>
    </w:p>
    <w:p w14:paraId="3D596FE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2、设备运杂费：按“TB 10811-2024号文”规定，以不含增值税可抵扣进项税额的设备原价为计算基数，按一般地区计列。</w:t>
      </w:r>
    </w:p>
    <w:p w14:paraId="28D9004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宋体" w:cs="Times New Roman"/>
          <w:kern w:val="44"/>
          <w:sz w:val="28"/>
          <w:szCs w:val="28"/>
        </w:rPr>
      </w:pPr>
      <w:r>
        <w:rPr>
          <w:rFonts w:hint="eastAsia" w:ascii="Times New Roman" w:hAnsi="Times New Roman" w:eastAsia="宋体" w:cs="Times New Roman"/>
          <w:sz w:val="28"/>
          <w:szCs w:val="28"/>
          <w:lang w:val="en-US" w:eastAsia="zh-CN"/>
        </w:rPr>
        <w:t>3、设备税金：按不含增值税可抵扣进项税额的设备原价和设备运杂费之和的9%计列。</w:t>
      </w:r>
    </w:p>
    <w:bookmarkEnd w:id="24"/>
    <w:bookmarkEnd w:id="25"/>
    <w:bookmarkEnd w:id="26"/>
    <w:bookmarkEnd w:id="27"/>
    <w:p w14:paraId="13E4C365">
      <w:pPr>
        <w:keepNext/>
        <w:keepLines/>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1"/>
        <w:rPr>
          <w:rFonts w:hint="eastAsia" w:ascii="宋体" w:hAnsi="宋体" w:eastAsia="宋体" w:cs="宋体"/>
          <w:b/>
          <w:bCs/>
          <w:color w:val="000000"/>
          <w:kern w:val="2"/>
          <w:sz w:val="28"/>
          <w:szCs w:val="28"/>
          <w:highlight w:val="none"/>
          <w:lang w:val="en-US" w:eastAsia="zh-CN" w:bidi="ar-SA"/>
        </w:rPr>
      </w:pPr>
      <w:bookmarkStart w:id="28" w:name="_Toc93322069"/>
      <w:bookmarkStart w:id="29" w:name="_Toc108595217"/>
      <w:r>
        <w:rPr>
          <w:rFonts w:hint="eastAsia" w:ascii="宋体" w:hAnsi="宋体" w:eastAsia="宋体" w:cs="宋体"/>
          <w:b/>
          <w:bCs/>
          <w:color w:val="000000"/>
          <w:kern w:val="2"/>
          <w:sz w:val="28"/>
          <w:szCs w:val="28"/>
          <w:highlight w:val="none"/>
          <w:lang w:val="en-US" w:eastAsia="zh-CN" w:bidi="ar-SA"/>
        </w:rPr>
        <w:t>三、各项工程静态投资及费用的编制</w:t>
      </w:r>
      <w:bookmarkEnd w:id="28"/>
      <w:bookmarkEnd w:id="29"/>
    </w:p>
    <w:p w14:paraId="7B405BCE">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bookmarkStart w:id="30" w:name="_Toc363395699"/>
      <w:bookmarkStart w:id="31" w:name="_Toc535315048"/>
      <w:bookmarkStart w:id="32" w:name="_Toc454181401"/>
      <w:bookmarkStart w:id="33" w:name="_Toc237180132"/>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一</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征地拆迁</w:t>
      </w:r>
    </w:p>
    <w:p w14:paraId="1A6078C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土地征用及拆迁补偿费按国家及工程所在地的省(自治区、直辖市)政府有关规定和标准，并参照相邻线路标准执行，土地征用、拆迁建筑物手续费、耕地占用税按有关规定执行。</w:t>
      </w:r>
    </w:p>
    <w:p w14:paraId="0462D8E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1、土地补偿费：本项目建设用地单价按12元/㎡·年计列，仅计列项目建设期租用地费用（8004元/亩），暂不考虑项目运营期用地费用。</w:t>
      </w:r>
    </w:p>
    <w:p w14:paraId="16700D6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2、临时用地费：按1500元/亩暂列。</w:t>
      </w:r>
    </w:p>
    <w:p w14:paraId="5ED6FA01">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二</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正式工程</w:t>
      </w:r>
    </w:p>
    <w:p w14:paraId="65B7C6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1、编制单元</w:t>
      </w:r>
    </w:p>
    <w:p w14:paraId="448DAE9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编制单元按总预算的编制范围划分，并按工程类别分别编制。</w:t>
      </w:r>
    </w:p>
    <w:p w14:paraId="0F2185C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bookmarkStart w:id="34" w:name="_Toc243669419"/>
      <w:r>
        <w:rPr>
          <w:rFonts w:hint="eastAsia" w:ascii="Times New Roman" w:hAnsi="Times New Roman" w:eastAsia="宋体" w:cs="Times New Roman"/>
          <w:sz w:val="28"/>
          <w:szCs w:val="28"/>
          <w:lang w:val="en-US" w:eastAsia="zh-CN"/>
        </w:rPr>
        <w:t>2、编制深度</w:t>
      </w:r>
      <w:bookmarkEnd w:id="34"/>
    </w:p>
    <w:p w14:paraId="2319500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根据“TB 10811-2024号文”施工图设计预算阶段规定的预算编制深度执行。</w:t>
      </w:r>
    </w:p>
    <w:p w14:paraId="2597810B">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三</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大型临时设施和过渡工程费</w:t>
      </w:r>
    </w:p>
    <w:p w14:paraId="1CE6A95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根据拟定的大临和过渡工程的工程数量与规模，采用定额分析或类似分析指标编制。</w:t>
      </w:r>
    </w:p>
    <w:p w14:paraId="04696B84">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四</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其他费</w:t>
      </w:r>
    </w:p>
    <w:p w14:paraId="00D68B3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1、建设项目管理费</w:t>
      </w:r>
    </w:p>
    <w:p w14:paraId="5ED3EC7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根据建设单位意见，本项目为建设单位自行实施项目，不计列建设项目管理费。</w:t>
      </w:r>
    </w:p>
    <w:p w14:paraId="66826E0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2、建设单位印花税及其他税费</w:t>
      </w:r>
    </w:p>
    <w:p w14:paraId="09E9E29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本项费用按第一～十章费用总额扣除土地征（租）用及拆迁补偿费为基数，乘以0.05%的系数计列。</w:t>
      </w:r>
    </w:p>
    <w:p w14:paraId="58E7F49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3、施工监理费</w:t>
      </w:r>
    </w:p>
    <w:p w14:paraId="73CA08E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根据建设单位审查意见，铁路部分不计列施工监理费，施工监理费由总图院统一计列。</w:t>
      </w:r>
    </w:p>
    <w:p w14:paraId="792F906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4、勘察设计费</w:t>
      </w:r>
    </w:p>
    <w:p w14:paraId="5D5D20E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依据相关文件规定计列。</w:t>
      </w:r>
    </w:p>
    <w:p w14:paraId="781E37B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5、设计文件审查费</w:t>
      </w:r>
    </w:p>
    <w:p w14:paraId="00CC7BB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根据建设单位审查意见，不计列该费用。</w:t>
      </w:r>
    </w:p>
    <w:p w14:paraId="0C93A12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6、其他咨询服务费</w:t>
      </w:r>
    </w:p>
    <w:p w14:paraId="409744A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根据建设单位审查意见，不计列该费用。 </w:t>
      </w:r>
    </w:p>
    <w:p w14:paraId="3A445F6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7、涉铁费</w:t>
      </w:r>
    </w:p>
    <w:p w14:paraId="3D69444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根据建设单位审查意见，本项目暂不计列该费用。</w:t>
      </w:r>
    </w:p>
    <w:p w14:paraId="6DFE7E1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8、安全生产费</w:t>
      </w:r>
    </w:p>
    <w:p w14:paraId="6C8318C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依据国铁科法〔2023〕7号文有关规定，以第一至第十章建筑安装工程费用总额的3%计列。</w:t>
      </w:r>
    </w:p>
    <w:p w14:paraId="41B18F1F">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（五）增值税</w:t>
      </w:r>
    </w:p>
    <w:p w14:paraId="24D170D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根据</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TB 10811-2024号文</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表2.12.1所列税率计列</w:t>
      </w:r>
      <w:r>
        <w:rPr>
          <w:rFonts w:hint="eastAsia" w:ascii="Times New Roman" w:hAnsi="Times New Roman" w:eastAsia="宋体" w:cs="Times New Roman"/>
          <w:sz w:val="28"/>
          <w:szCs w:val="28"/>
          <w:lang w:val="en-US" w:eastAsia="zh-CN"/>
        </w:rPr>
        <w:t>。</w:t>
      </w:r>
    </w:p>
    <w:p w14:paraId="61E070E7">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（六）基本预备费</w:t>
      </w:r>
    </w:p>
    <w:p w14:paraId="7D03E83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依据“TB 10811-2024号文”规定，以第一章至第十一章费用总额为基数，乘以5%的费率计算。</w:t>
      </w:r>
    </w:p>
    <w:bookmarkEnd w:id="30"/>
    <w:bookmarkEnd w:id="31"/>
    <w:bookmarkEnd w:id="32"/>
    <w:bookmarkEnd w:id="33"/>
    <w:p w14:paraId="54FDA892">
      <w:pPr>
        <w:keepNext/>
        <w:keepLines/>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1"/>
        <w:rPr>
          <w:rFonts w:hint="eastAsia" w:ascii="宋体" w:hAnsi="宋体" w:eastAsia="宋体" w:cs="宋体"/>
          <w:b/>
          <w:bCs/>
          <w:color w:val="000000"/>
          <w:kern w:val="2"/>
          <w:sz w:val="28"/>
          <w:szCs w:val="28"/>
          <w:highlight w:val="none"/>
          <w:lang w:val="en-US" w:eastAsia="zh-CN" w:bidi="ar-SA"/>
        </w:rPr>
      </w:pPr>
      <w:bookmarkStart w:id="35" w:name="_Toc93322070"/>
      <w:bookmarkStart w:id="36" w:name="_Toc108595218"/>
      <w:bookmarkStart w:id="37" w:name="_Toc63591659"/>
      <w:r>
        <w:rPr>
          <w:rFonts w:hint="eastAsia" w:ascii="宋体" w:hAnsi="宋体" w:eastAsia="宋体" w:cs="宋体"/>
          <w:b/>
          <w:bCs/>
          <w:color w:val="000000"/>
          <w:kern w:val="2"/>
          <w:sz w:val="28"/>
          <w:szCs w:val="28"/>
          <w:highlight w:val="none"/>
          <w:lang w:val="en-US" w:eastAsia="zh-CN" w:bidi="ar-SA"/>
        </w:rPr>
        <w:t>四、动态投资</w:t>
      </w:r>
      <w:bookmarkEnd w:id="35"/>
      <w:bookmarkEnd w:id="36"/>
      <w:bookmarkEnd w:id="37"/>
    </w:p>
    <w:p w14:paraId="390866B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bookmarkStart w:id="38" w:name="_Toc63591660"/>
      <w:r>
        <w:rPr>
          <w:rFonts w:hint="eastAsia" w:ascii="Times New Roman" w:hAnsi="Times New Roman" w:eastAsia="宋体" w:cs="Times New Roman"/>
          <w:sz w:val="28"/>
          <w:szCs w:val="28"/>
          <w:lang w:val="en-US" w:eastAsia="zh-CN"/>
        </w:rPr>
        <w:t>建设期投资贷款利息：根据建设单位审查意见，铁路部分不计列建设期贷款利息。</w:t>
      </w:r>
    </w:p>
    <w:p w14:paraId="5A18DBCE">
      <w:pPr>
        <w:keepNext/>
        <w:keepLines/>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1"/>
        <w:rPr>
          <w:rFonts w:hint="eastAsia" w:ascii="宋体" w:hAnsi="宋体" w:eastAsia="宋体" w:cs="宋体"/>
          <w:b/>
          <w:bCs/>
          <w:color w:val="000000"/>
          <w:kern w:val="2"/>
          <w:sz w:val="28"/>
          <w:szCs w:val="28"/>
          <w:highlight w:val="none"/>
          <w:lang w:val="en-US" w:eastAsia="zh-CN" w:bidi="ar-SA"/>
        </w:rPr>
      </w:pPr>
      <w:bookmarkStart w:id="39" w:name="_Toc108595219"/>
      <w:bookmarkStart w:id="40" w:name="_Toc93322071"/>
      <w:r>
        <w:rPr>
          <w:rFonts w:hint="eastAsia" w:ascii="宋体" w:hAnsi="宋体" w:eastAsia="宋体" w:cs="宋体"/>
          <w:b/>
          <w:bCs/>
          <w:color w:val="000000"/>
          <w:kern w:val="2"/>
          <w:sz w:val="28"/>
          <w:szCs w:val="28"/>
          <w:highlight w:val="none"/>
          <w:lang w:val="en-US" w:eastAsia="zh-CN" w:bidi="ar-SA"/>
        </w:rPr>
        <w:t>五、机车车辆购置费</w:t>
      </w:r>
      <w:bookmarkEnd w:id="38"/>
      <w:bookmarkEnd w:id="39"/>
      <w:bookmarkEnd w:id="40"/>
    </w:p>
    <w:p w14:paraId="31618FA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本项目不计列机车车辆购置费。</w:t>
      </w:r>
    </w:p>
    <w:p w14:paraId="044397B4">
      <w:pPr>
        <w:keepNext/>
        <w:keepLines/>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1"/>
        <w:rPr>
          <w:rFonts w:hint="eastAsia" w:ascii="宋体" w:hAnsi="宋体" w:eastAsia="宋体" w:cs="宋体"/>
          <w:b/>
          <w:bCs/>
          <w:color w:val="000000"/>
          <w:kern w:val="2"/>
          <w:sz w:val="28"/>
          <w:szCs w:val="28"/>
          <w:highlight w:val="none"/>
          <w:lang w:val="en-US" w:eastAsia="zh-CN" w:bidi="ar-SA"/>
        </w:rPr>
      </w:pPr>
      <w:bookmarkStart w:id="41" w:name="_Toc108595221"/>
      <w:bookmarkStart w:id="42" w:name="_Toc93322073"/>
      <w:bookmarkStart w:id="43" w:name="_Toc63591662"/>
      <w:r>
        <w:rPr>
          <w:rFonts w:hint="eastAsia" w:ascii="宋体" w:hAnsi="宋体" w:eastAsia="宋体" w:cs="宋体"/>
          <w:b/>
          <w:bCs/>
          <w:color w:val="000000"/>
          <w:kern w:val="2"/>
          <w:sz w:val="28"/>
          <w:szCs w:val="28"/>
          <w:highlight w:val="none"/>
          <w:lang w:val="en-US" w:eastAsia="zh-CN" w:bidi="ar-SA"/>
        </w:rPr>
        <w:t>六、</w:t>
      </w:r>
      <w:bookmarkEnd w:id="41"/>
      <w:bookmarkEnd w:id="42"/>
      <w:bookmarkEnd w:id="43"/>
      <w:r>
        <w:rPr>
          <w:rFonts w:hint="eastAsia" w:ascii="宋体" w:hAnsi="宋体" w:eastAsia="宋体" w:cs="宋体"/>
          <w:b/>
          <w:bCs/>
          <w:color w:val="000000"/>
          <w:kern w:val="2"/>
          <w:sz w:val="28"/>
          <w:szCs w:val="28"/>
          <w:highlight w:val="none"/>
          <w:lang w:val="en-US" w:eastAsia="zh-CN" w:bidi="ar-SA"/>
        </w:rPr>
        <w:t>预算总额及技术经济指标</w:t>
      </w:r>
    </w:p>
    <w:p w14:paraId="6EC530A4">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default"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（一）预算总额</w:t>
      </w:r>
    </w:p>
    <w:p w14:paraId="5EAD4D4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eastAsia="宋体" w:cs="Times New Roman"/>
          <w:sz w:val="28"/>
          <w:szCs w:val="28"/>
          <w:highlight w:val="yellow"/>
          <w:lang w:val="en-US" w:eastAsia="zh-CN"/>
        </w:rPr>
      </w:pPr>
      <w:r>
        <w:rPr>
          <w:rFonts w:hint="eastAsia" w:ascii="Times New Roman" w:hAnsi="Times New Roman" w:eastAsia="宋体" w:cs="Times New Roman"/>
          <w:sz w:val="28"/>
          <w:szCs w:val="28"/>
          <w:lang w:val="en-US" w:eastAsia="zh-CN"/>
        </w:rPr>
        <w:t>本项目预算总额为4499.2万元，经济指标1449.02万元/铺轨公里。其中：建安费2930.63万元，设备费636.67万元，其他费378.49万元，增值税339.16万元，基本预备费214.25万元。</w:t>
      </w:r>
    </w:p>
    <w:p w14:paraId="30B32B59">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（二）与批准的可研估算总额的对照分析</w:t>
      </w:r>
    </w:p>
    <w:p w14:paraId="3617CB8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napToGrid w:val="0"/>
          <w:kern w:val="0"/>
          <w:sz w:val="28"/>
          <w:szCs w:val="28"/>
          <w:highlight w:val="yellow"/>
          <w:lang w:val="en-US" w:eastAsia="zh-CN" w:bidi="ar-SA"/>
        </w:rPr>
      </w:pPr>
      <w:r>
        <w:rPr>
          <w:rFonts w:hint="eastAsia" w:ascii="Times New Roman" w:hAnsi="Times New Roman" w:eastAsia="宋体" w:cs="Times New Roman"/>
          <w:sz w:val="28"/>
          <w:szCs w:val="28"/>
          <w:highlight w:val="none"/>
          <w:lang w:val="en-US" w:eastAsia="zh-CN"/>
        </w:rPr>
        <w:t>本项目批准的可研估算总额4499.77万元，本次施工图设计预算总额4499.2万元，相较于可研估算投资减少0.57万元。</w:t>
      </w:r>
    </w:p>
    <w:p w14:paraId="682DFC20">
      <w:pPr>
        <w:rPr>
          <w:rFonts w:ascii="Times New Roman" w:hAnsi="Times New Roman" w:eastAsia="宋体" w:cs="Times New Roman"/>
          <w:sz w:val="28"/>
          <w:szCs w:val="28"/>
          <w:highlight w:val="red"/>
        </w:rPr>
      </w:pPr>
      <w:r>
        <w:rPr>
          <w:rFonts w:ascii="Times New Roman" w:hAnsi="Times New Roman" w:eastAsia="宋体" w:cs="Times New Roman"/>
          <w:sz w:val="28"/>
          <w:szCs w:val="28"/>
          <w:highlight w:val="red"/>
        </w:rPr>
        <w:br w:type="page"/>
      </w:r>
    </w:p>
    <w:p w14:paraId="5BBA484A">
      <w:pPr>
        <w:keepNext/>
        <w:keepLines/>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1"/>
        <w:rPr>
          <w:rFonts w:hint="eastAsia" w:ascii="宋体" w:hAnsi="宋体" w:eastAsia="宋体" w:cs="宋体"/>
          <w:b/>
          <w:bCs/>
          <w:color w:val="000000"/>
          <w:kern w:val="2"/>
          <w:sz w:val="28"/>
          <w:szCs w:val="28"/>
          <w:highlight w:val="none"/>
          <w:lang w:val="en-US" w:eastAsia="zh-CN" w:bidi="ar-SA"/>
        </w:rPr>
      </w:pPr>
      <w:r>
        <w:rPr>
          <w:rFonts w:hint="eastAsia" w:ascii="宋体" w:hAnsi="宋体" w:eastAsia="宋体" w:cs="宋体"/>
          <w:b/>
          <w:bCs/>
          <w:color w:val="000000"/>
          <w:kern w:val="2"/>
          <w:sz w:val="28"/>
          <w:szCs w:val="28"/>
          <w:highlight w:val="none"/>
          <w:lang w:val="en-US" w:eastAsia="zh-CN" w:bidi="ar-SA"/>
        </w:rPr>
        <w:t>附件</w:t>
      </w:r>
    </w:p>
    <w:p w14:paraId="5D4B4FA6">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default"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（一）施工图设计总预算与可研总估算对照</w:t>
      </w:r>
    </w:p>
    <w:p w14:paraId="219FBA9C">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default"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（二）总预算</w:t>
      </w:r>
    </w:p>
    <w:p w14:paraId="6CAC62A7">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default"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（三）综合预算</w:t>
      </w:r>
    </w:p>
    <w:p w14:paraId="1C0DF74B">
      <w:pPr>
        <w:pStyle w:val="12"/>
        <w:keepNext/>
        <w:keepLines/>
        <w:pageBreakBefore w:val="0"/>
        <w:widowControl w:val="0"/>
        <w:kinsoku/>
        <w:wordWrap/>
        <w:overflowPunct/>
        <w:topLinePunct w:val="0"/>
        <w:autoSpaceDE/>
        <w:autoSpaceDN/>
        <w:bidi w:val="0"/>
        <w:adjustRightInd w:val="0"/>
        <w:snapToGrid w:val="0"/>
        <w:spacing w:line="360" w:lineRule="auto"/>
        <w:ind w:left="0" w:leftChars="0" w:firstLine="562" w:firstLineChars="200"/>
        <w:textAlignment w:val="auto"/>
        <w:rPr>
          <w:rFonts w:hint="default"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（四）单项预算</w:t>
      </w:r>
    </w:p>
    <w:p w14:paraId="5E689185">
      <w:pPr>
        <w:outlineLvl w:val="1"/>
        <w:rPr>
          <w:rFonts w:hint="eastAsia" w:ascii="Times New Roman" w:hAnsi="Times New Roman" w:eastAsia="宋体" w:cs="Times New Roman"/>
          <w:b/>
          <w:bCs/>
          <w:sz w:val="28"/>
          <w:szCs w:val="28"/>
          <w:lang w:val="en-US" w:eastAsia="zh-CN"/>
        </w:rPr>
        <w:sectPr>
          <w:footerReference r:id="rId6" w:type="first"/>
          <w:footerReference r:id="rId5" w:type="default"/>
          <w:pgSz w:w="11906" w:h="16838"/>
          <w:pgMar w:top="1440" w:right="1800" w:bottom="1440" w:left="1800" w:header="851" w:footer="992" w:gutter="0"/>
          <w:pgNumType w:fmt="numberInDash" w:start="1"/>
          <w:cols w:space="425" w:num="1"/>
          <w:docGrid w:type="lines" w:linePitch="312" w:charSpace="0"/>
        </w:sectPr>
      </w:pPr>
    </w:p>
    <w:p w14:paraId="382CAD97">
      <w:pPr>
        <w:pStyle w:val="18"/>
        <w:jc w:val="center"/>
        <w:rPr>
          <w:rFonts w:hint="eastAsia" w:ascii="宋体" w:hAnsi="宋体" w:eastAsia="宋体" w:cs="Times New Roman"/>
          <w:b/>
          <w:bCs/>
          <w:sz w:val="36"/>
          <w:szCs w:val="52"/>
          <w:lang w:val="en-US" w:eastAsia="zh-CN"/>
        </w:rPr>
      </w:pPr>
    </w:p>
    <w:p w14:paraId="1A4B9C0E">
      <w:pPr>
        <w:pStyle w:val="18"/>
        <w:jc w:val="center"/>
        <w:rPr>
          <w:rFonts w:hint="eastAsia"/>
          <w:b/>
          <w:bCs/>
          <w:color w:val="000000"/>
          <w:sz w:val="36"/>
          <w:szCs w:val="36"/>
        </w:rPr>
      </w:pPr>
      <w:r>
        <w:rPr>
          <w:rFonts w:hint="eastAsia" w:ascii="宋体" w:hAnsi="宋体" w:eastAsia="宋体" w:cs="Times New Roman"/>
          <w:b/>
          <w:bCs/>
          <w:sz w:val="36"/>
          <w:szCs w:val="52"/>
          <w:lang w:val="en-US" w:eastAsia="zh-CN"/>
        </w:rPr>
        <w:t>签 署 页</w:t>
      </w:r>
    </w:p>
    <w:p w14:paraId="35DBCECB">
      <w:pPr>
        <w:ind w:left="4313" w:leftChars="601" w:hanging="3051" w:hangingChars="847"/>
        <w:rPr>
          <w:b/>
          <w:bCs/>
          <w:color w:val="000000"/>
          <w:sz w:val="36"/>
          <w:szCs w:val="36"/>
        </w:rPr>
      </w:pPr>
      <w:bookmarkStart w:id="44" w:name="_GoBack"/>
      <w:bookmarkEnd w:id="44"/>
    </w:p>
    <w:p w14:paraId="292B9528">
      <w:pPr>
        <w:ind w:left="4313" w:leftChars="601" w:hanging="3051" w:hangingChars="847"/>
        <w:rPr>
          <w:b/>
          <w:bCs/>
          <w:color w:val="000000"/>
          <w:sz w:val="36"/>
          <w:szCs w:val="36"/>
        </w:rPr>
      </w:pPr>
    </w:p>
    <w:p w14:paraId="38F23847">
      <w:pPr>
        <w:ind w:left="4313" w:leftChars="601" w:hanging="3051" w:hangingChars="847"/>
        <w:rPr>
          <w:b/>
          <w:bCs/>
          <w:color w:val="000000"/>
          <w:sz w:val="36"/>
          <w:szCs w:val="36"/>
        </w:rPr>
      </w:pPr>
    </w:p>
    <w:p w14:paraId="1BC1CE67">
      <w:pPr>
        <w:ind w:left="4313" w:leftChars="601" w:hanging="3051" w:hangingChars="847"/>
        <w:rPr>
          <w:b/>
          <w:bCs/>
          <w:color w:val="000000"/>
          <w:sz w:val="36"/>
          <w:szCs w:val="36"/>
        </w:rPr>
      </w:pPr>
    </w:p>
    <w:p w14:paraId="298A8236">
      <w:pPr>
        <w:ind w:left="4133" w:leftChars="773" w:hanging="2510" w:hangingChars="697"/>
        <w:rPr>
          <w:rFonts w:hint="eastAsia"/>
          <w:b/>
          <w:bCs/>
          <w:color w:val="000000"/>
          <w:sz w:val="36"/>
          <w:szCs w:val="36"/>
        </w:rPr>
      </w:pPr>
      <w:r>
        <w:rPr>
          <w:b/>
          <w:bCs/>
          <w:color w:val="000000"/>
          <w:sz w:val="36"/>
          <w:szCs w:val="36"/>
        </w:rPr>
        <w:t xml:space="preserve">   </w:t>
      </w:r>
    </w:p>
    <w:p w14:paraId="31B6574C">
      <w:pPr>
        <w:ind w:left="4130" w:leftChars="599" w:hanging="2872" w:hangingChars="798"/>
        <w:rPr>
          <w:bCs/>
          <w:color w:val="000000"/>
          <w:sz w:val="36"/>
          <w:szCs w:val="36"/>
        </w:rPr>
      </w:pPr>
      <w:r>
        <w:rPr>
          <w:rFonts w:hint="eastAsia" w:ascii="宋体" w:hAnsi="宋体" w:eastAsia="宋体" w:cs="宋体"/>
          <w:bCs/>
          <w:color w:val="000000"/>
          <w:sz w:val="36"/>
          <w:szCs w:val="36"/>
        </w:rPr>
        <w:t>编 写 者：</w:t>
      </w:r>
    </w:p>
    <w:p w14:paraId="219ED9D6">
      <w:pPr>
        <w:ind w:left="4130" w:leftChars="429" w:hanging="3229" w:hangingChars="897"/>
        <w:rPr>
          <w:bCs/>
          <w:color w:val="000000"/>
          <w:sz w:val="36"/>
          <w:szCs w:val="36"/>
        </w:rPr>
      </w:pPr>
    </w:p>
    <w:p w14:paraId="7624B223">
      <w:pPr>
        <w:ind w:left="4130" w:leftChars="429" w:hanging="3229" w:hangingChars="897"/>
        <w:rPr>
          <w:bCs/>
          <w:color w:val="000000"/>
          <w:sz w:val="36"/>
          <w:szCs w:val="36"/>
        </w:rPr>
      </w:pPr>
    </w:p>
    <w:p w14:paraId="1DE9B76F">
      <w:pPr>
        <w:ind w:left="4127" w:leftChars="599" w:hanging="2869" w:hangingChars="797"/>
        <w:rPr>
          <w:bCs/>
          <w:color w:val="000000"/>
          <w:sz w:val="36"/>
          <w:szCs w:val="36"/>
        </w:rPr>
      </w:pPr>
      <w:r>
        <w:rPr>
          <w:rFonts w:hint="eastAsia" w:ascii="宋体" w:hAnsi="宋体" w:eastAsia="宋体" w:cs="宋体"/>
          <w:bCs/>
          <w:color w:val="000000"/>
          <w:sz w:val="36"/>
          <w:szCs w:val="36"/>
        </w:rPr>
        <w:t>复 核 者：</w:t>
      </w:r>
    </w:p>
    <w:p w14:paraId="1F129321">
      <w:pPr>
        <w:ind w:left="4130" w:leftChars="429" w:hanging="3229" w:hangingChars="897"/>
        <w:rPr>
          <w:bCs/>
          <w:color w:val="000000"/>
          <w:sz w:val="36"/>
          <w:szCs w:val="36"/>
        </w:rPr>
      </w:pPr>
    </w:p>
    <w:p w14:paraId="37D31343">
      <w:pPr>
        <w:ind w:left="4130" w:leftChars="429" w:hanging="3229" w:hangingChars="897"/>
        <w:rPr>
          <w:bCs/>
          <w:color w:val="000000"/>
          <w:sz w:val="36"/>
          <w:szCs w:val="36"/>
        </w:rPr>
      </w:pPr>
    </w:p>
    <w:p w14:paraId="2A562AC8">
      <w:pPr>
        <w:ind w:left="4127" w:leftChars="599" w:hanging="2869" w:hangingChars="797"/>
        <w:rPr>
          <w:bCs/>
          <w:color w:val="000000"/>
          <w:sz w:val="36"/>
          <w:szCs w:val="36"/>
        </w:rPr>
      </w:pPr>
      <w:r>
        <w:rPr>
          <w:rFonts w:hint="eastAsia" w:ascii="宋体" w:hAnsi="宋体" w:eastAsia="宋体" w:cs="宋体"/>
          <w:bCs/>
          <w:color w:val="000000"/>
          <w:sz w:val="36"/>
          <w:szCs w:val="36"/>
        </w:rPr>
        <w:t>审 核 者：</w:t>
      </w:r>
    </w:p>
    <w:p w14:paraId="76FF3E3E">
      <w:pPr>
        <w:ind w:left="4299" w:leftChars="1115" w:hanging="1958" w:hangingChars="544"/>
        <w:rPr>
          <w:rFonts w:hint="eastAsia"/>
          <w:bCs/>
          <w:color w:val="000000"/>
          <w:sz w:val="36"/>
          <w:szCs w:val="36"/>
        </w:rPr>
      </w:pPr>
    </w:p>
    <w:p w14:paraId="3FFBE70A">
      <w:pPr>
        <w:ind w:left="4299" w:leftChars="1115" w:hanging="1958" w:hangingChars="544"/>
        <w:rPr>
          <w:rFonts w:hint="eastAsia"/>
          <w:bCs/>
          <w:color w:val="000000"/>
          <w:sz w:val="36"/>
          <w:szCs w:val="36"/>
        </w:rPr>
      </w:pPr>
    </w:p>
    <w:p w14:paraId="269C9325">
      <w:pPr>
        <w:ind w:left="4300" w:leftChars="601" w:hanging="3038" w:hangingChars="844"/>
        <w:rPr>
          <w:rFonts w:ascii="Times New Roman" w:hAnsi="Times New Roman" w:eastAsia="宋体" w:cs="Times New Roman"/>
          <w:b/>
          <w:bCs/>
          <w:kern w:val="28"/>
          <w:sz w:val="28"/>
          <w:szCs w:val="28"/>
        </w:rPr>
      </w:pPr>
      <w:r>
        <w:rPr>
          <w:rFonts w:hint="eastAsia" w:ascii="宋体" w:hAnsi="宋体" w:eastAsia="宋体" w:cs="宋体"/>
          <w:bCs/>
          <w:color w:val="000000"/>
          <w:sz w:val="36"/>
          <w:szCs w:val="36"/>
        </w:rPr>
        <w:t>审 定 者：</w:t>
      </w:r>
    </w:p>
    <w:sectPr>
      <w:headerReference r:id="rId7" w:type="first"/>
      <w:footerReference r:id="rId9" w:type="first"/>
      <w:footerReference r:id="rId8"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1164F">
    <w:pPr>
      <w:pStyle w:val="6"/>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1EFD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DE7426">
                          <w:pPr>
                            <w:pStyle w:val="6"/>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EDE7426">
                    <w:pPr>
                      <w:pStyle w:val="6"/>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30485">
    <w:pPr>
      <w:pStyle w:val="6"/>
      <w:tabs>
        <w:tab w:val="clear" w:pos="4153"/>
      </w:tabs>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732D4F">
                          <w:pPr>
                            <w:pStyle w:val="6"/>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A732D4F">
                    <w:pPr>
                      <w:pStyle w:val="6"/>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7D277">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F57BB">
    <w:pPr>
      <w:pStyle w:val="6"/>
      <w:tabs>
        <w:tab w:val="clear" w:pos="4153"/>
      </w:tabs>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EB423">
    <w:pPr>
      <w:pStyle w:val="7"/>
      <w:pBdr>
        <w:bottom w:val="single" w:color="auto" w:sz="4" w:space="1"/>
      </w:pBdr>
    </w:pPr>
    <w:r>
      <w:rPr>
        <w:rFonts w:hint="eastAsia" w:ascii="宋体" w:hAnsi="宋体" w:eastAsia="宋体" w:cs="宋体"/>
        <w:lang w:val="en-US" w:eastAsia="zh-CN"/>
      </w:rPr>
      <w:t>靖远煤业集团刘化化工有限公司铁路专用线                                            施工图预算</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4900B">
    <w:pPr>
      <w:pStyle w:val="7"/>
      <w:pBdr>
        <w:bottom w:val="single" w:color="auto" w:sz="4" w:space="1"/>
      </w:pBdr>
    </w:pPr>
    <w:r>
      <w:rPr>
        <w:rFonts w:hint="eastAsia" w:ascii="宋体" w:hAnsi="宋体" w:eastAsia="宋体" w:cs="宋体"/>
        <w:lang w:val="en-US" w:eastAsia="zh-CN"/>
      </w:rPr>
      <w:t>靖远煤业集团刘化化工有限公司铁路专用线                                            施工图预算</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883"/>
    <w:rsid w:val="001440F8"/>
    <w:rsid w:val="00437883"/>
    <w:rsid w:val="004E014F"/>
    <w:rsid w:val="00BB20E8"/>
    <w:rsid w:val="018C519F"/>
    <w:rsid w:val="04926F71"/>
    <w:rsid w:val="04E8367B"/>
    <w:rsid w:val="05DF5898"/>
    <w:rsid w:val="090B5543"/>
    <w:rsid w:val="098420FD"/>
    <w:rsid w:val="0A0A1357"/>
    <w:rsid w:val="0B466293"/>
    <w:rsid w:val="0E6D0107"/>
    <w:rsid w:val="10623769"/>
    <w:rsid w:val="128A572B"/>
    <w:rsid w:val="128C391B"/>
    <w:rsid w:val="12C042CE"/>
    <w:rsid w:val="12D533CF"/>
    <w:rsid w:val="15791A87"/>
    <w:rsid w:val="16351E52"/>
    <w:rsid w:val="167A585C"/>
    <w:rsid w:val="17214E04"/>
    <w:rsid w:val="178564C1"/>
    <w:rsid w:val="18A04B0D"/>
    <w:rsid w:val="1CC23D13"/>
    <w:rsid w:val="1D3D5B5F"/>
    <w:rsid w:val="1F2D5E3D"/>
    <w:rsid w:val="2075762A"/>
    <w:rsid w:val="280264C3"/>
    <w:rsid w:val="2B0D4CF3"/>
    <w:rsid w:val="2BCC3EBB"/>
    <w:rsid w:val="2C8A13CB"/>
    <w:rsid w:val="2EA064A0"/>
    <w:rsid w:val="2ED66A0F"/>
    <w:rsid w:val="30224D9D"/>
    <w:rsid w:val="30C6397A"/>
    <w:rsid w:val="313B5255"/>
    <w:rsid w:val="315043E8"/>
    <w:rsid w:val="319B6B33"/>
    <w:rsid w:val="320324DB"/>
    <w:rsid w:val="32717916"/>
    <w:rsid w:val="32AC6B74"/>
    <w:rsid w:val="32DF2AD1"/>
    <w:rsid w:val="33592E13"/>
    <w:rsid w:val="33F151B2"/>
    <w:rsid w:val="33F425AD"/>
    <w:rsid w:val="346D2A0F"/>
    <w:rsid w:val="34C10EE9"/>
    <w:rsid w:val="35761635"/>
    <w:rsid w:val="35CD0D37"/>
    <w:rsid w:val="375F0C51"/>
    <w:rsid w:val="38107BD1"/>
    <w:rsid w:val="38561A88"/>
    <w:rsid w:val="3A540249"/>
    <w:rsid w:val="3B3914B2"/>
    <w:rsid w:val="3E5E1696"/>
    <w:rsid w:val="3F285800"/>
    <w:rsid w:val="3F5139B6"/>
    <w:rsid w:val="3F594888"/>
    <w:rsid w:val="406A3B0F"/>
    <w:rsid w:val="43163866"/>
    <w:rsid w:val="448259B3"/>
    <w:rsid w:val="448B6E0C"/>
    <w:rsid w:val="494476DB"/>
    <w:rsid w:val="49740C8E"/>
    <w:rsid w:val="4A631D92"/>
    <w:rsid w:val="4AF9451D"/>
    <w:rsid w:val="4C413CA3"/>
    <w:rsid w:val="4CAD0011"/>
    <w:rsid w:val="4D2F41FE"/>
    <w:rsid w:val="4D477799"/>
    <w:rsid w:val="4E80634E"/>
    <w:rsid w:val="50970E1B"/>
    <w:rsid w:val="52181810"/>
    <w:rsid w:val="52ED0DE3"/>
    <w:rsid w:val="53051C89"/>
    <w:rsid w:val="53E27DB3"/>
    <w:rsid w:val="54531D4B"/>
    <w:rsid w:val="558E065B"/>
    <w:rsid w:val="56A10F80"/>
    <w:rsid w:val="58BB01B0"/>
    <w:rsid w:val="58BC54DF"/>
    <w:rsid w:val="59456639"/>
    <w:rsid w:val="5988716F"/>
    <w:rsid w:val="5A582FE6"/>
    <w:rsid w:val="5D9B58D7"/>
    <w:rsid w:val="5E6D232B"/>
    <w:rsid w:val="5E85077B"/>
    <w:rsid w:val="5F295415"/>
    <w:rsid w:val="62A85206"/>
    <w:rsid w:val="633F46AC"/>
    <w:rsid w:val="64894379"/>
    <w:rsid w:val="64942E6C"/>
    <w:rsid w:val="65817895"/>
    <w:rsid w:val="65A41251"/>
    <w:rsid w:val="663E1A83"/>
    <w:rsid w:val="676C72C3"/>
    <w:rsid w:val="67A84DF9"/>
    <w:rsid w:val="6BC1387F"/>
    <w:rsid w:val="6D265289"/>
    <w:rsid w:val="6D63049F"/>
    <w:rsid w:val="717B6C1A"/>
    <w:rsid w:val="737A3B75"/>
    <w:rsid w:val="742C1313"/>
    <w:rsid w:val="74B65081"/>
    <w:rsid w:val="74F87447"/>
    <w:rsid w:val="75134281"/>
    <w:rsid w:val="76A71821"/>
    <w:rsid w:val="76C44C44"/>
    <w:rsid w:val="78D760E2"/>
    <w:rsid w:val="7A6D4434"/>
    <w:rsid w:val="7B784E3E"/>
    <w:rsid w:val="7D562F5D"/>
    <w:rsid w:val="7DC77FB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adjustRightInd w:val="0"/>
      <w:snapToGrid w:val="0"/>
      <w:spacing w:beforeLines="30" w:afterLines="30"/>
      <w:ind w:firstLine="555" w:firstLineChars="200"/>
      <w:outlineLvl w:val="0"/>
    </w:pPr>
    <w:rPr>
      <w:rFonts w:hAnsi="Times New Roman"/>
      <w:b/>
      <w:bCs/>
      <w:kern w:val="44"/>
    </w:rPr>
  </w:style>
  <w:style w:type="paragraph" w:styleId="3">
    <w:name w:val="heading 2"/>
    <w:basedOn w:val="4"/>
    <w:next w:val="1"/>
    <w:link w:val="19"/>
    <w:qFormat/>
    <w:uiPriority w:val="0"/>
    <w:pPr>
      <w:keepNext/>
      <w:keepLines/>
      <w:outlineLvl w:val="1"/>
    </w:pPr>
    <w:rPr>
      <w:rFonts w:hAnsi="Calibri Light"/>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4">
    <w:name w:val="w1、"/>
    <w:basedOn w:val="2"/>
    <w:qFormat/>
    <w:uiPriority w:val="0"/>
    <w:pPr>
      <w:outlineLvl w:val="9"/>
    </w:pPr>
  </w:style>
  <w:style w:type="paragraph" w:styleId="5">
    <w:name w:val="Body Text"/>
    <w:qFormat/>
    <w:uiPriority w:val="0"/>
    <w:pPr>
      <w:widowControl w:val="0"/>
      <w:adjustRightInd w:val="0"/>
      <w:snapToGrid w:val="0"/>
      <w:spacing w:after="120" w:line="360" w:lineRule="auto"/>
      <w:ind w:firstLine="200" w:firstLineChars="200"/>
      <w:jc w:val="both"/>
    </w:pPr>
    <w:rPr>
      <w:rFonts w:ascii="Times New Roman" w:hAnsi="Times New Roman" w:eastAsia="宋体" w:cs="Times New Roman"/>
      <w:kern w:val="2"/>
      <w:sz w:val="28"/>
      <w:szCs w:val="22"/>
      <w:lang w:val="en-US" w:eastAsia="zh-CN" w:bidi="ar-SA"/>
    </w:rPr>
  </w:style>
  <w:style w:type="paragraph" w:styleId="6">
    <w:name w:val="footer"/>
    <w:basedOn w:val="1"/>
    <w:semiHidden/>
    <w:unhideWhenUsed/>
    <w:qFormat/>
    <w:uiPriority w:val="99"/>
    <w:pPr>
      <w:tabs>
        <w:tab w:val="center" w:pos="4153"/>
        <w:tab w:val="right" w:pos="8306"/>
      </w:tabs>
      <w:snapToGrid w:val="0"/>
      <w:jc w:val="left"/>
    </w:pPr>
    <w:rPr>
      <w:sz w:val="18"/>
    </w:rPr>
  </w:style>
  <w:style w:type="paragraph" w:styleId="7">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正文表格-TT"/>
    <w:basedOn w:val="9"/>
    <w:qFormat/>
    <w:uiPriority w:val="99"/>
    <w:pPr>
      <w:ind w:left="-30" w:leftChars="-30" w:right="-30" w:rightChars="-30"/>
      <w:jc w:val="center"/>
    </w:pPr>
    <w:rPr>
      <w:rFonts w:ascii="宋体" w:hAnsi="宋体" w:eastAsia="宋体"/>
    </w:rPr>
    <w:tblPr>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rPr>
      <w:jc w:val="center"/>
    </w:trPr>
    <w:tcPr>
      <w:vAlign w:val="center"/>
    </w:tcPr>
    <w:tblStylePr w:type="firstRow">
      <w:pPr>
        <w:jc w:val="center"/>
      </w:pPr>
      <w:rPr>
        <w:b/>
      </w:rPr>
      <w:tblPr/>
      <w:trPr>
        <w:tblHeader/>
      </w:trPr>
    </w:tblStylePr>
  </w:style>
  <w:style w:type="paragraph" w:customStyle="1" w:styleId="12">
    <w:name w:val="标题002"/>
    <w:basedOn w:val="3"/>
    <w:next w:val="3"/>
    <w:qFormat/>
    <w:uiPriority w:val="0"/>
    <w:pPr>
      <w:jc w:val="left"/>
    </w:pPr>
    <w:rPr>
      <w:rFonts w:eastAsia="楷体"/>
    </w:rPr>
  </w:style>
  <w:style w:type="paragraph" w:customStyle="1" w:styleId="13">
    <w:name w:val="B1"/>
    <w:next w:val="14"/>
    <w:qFormat/>
    <w:uiPriority w:val="0"/>
    <w:pPr>
      <w:widowControl w:val="0"/>
      <w:wordWrap/>
      <w:adjustRightInd/>
      <w:snapToGrid/>
      <w:spacing w:line="240" w:lineRule="auto"/>
      <w:ind w:firstLine="200" w:firstLineChars="200"/>
      <w:jc w:val="both"/>
      <w:outlineLvl w:val="0"/>
    </w:pPr>
    <w:rPr>
      <w:rFonts w:ascii="Times New Roman" w:hAnsi="宋体" w:eastAsia="宋体" w:cs="Times New Roman"/>
      <w:b/>
      <w:bCs/>
      <w:snapToGrid w:val="0"/>
      <w:color w:val="000000"/>
      <w:kern w:val="2"/>
      <w:sz w:val="28"/>
      <w:szCs w:val="28"/>
      <w:lang w:val="en-US" w:eastAsia="zh-CN" w:bidi="ar-SA"/>
    </w:rPr>
  </w:style>
  <w:style w:type="paragraph" w:customStyle="1" w:styleId="14">
    <w:name w:val="正文1"/>
    <w:qFormat/>
    <w:uiPriority w:val="0"/>
    <w:pPr>
      <w:widowControl w:val="0"/>
      <w:suppressAutoHyphens/>
      <w:adjustRightInd/>
      <w:snapToGrid w:val="0"/>
      <w:spacing w:after="0" w:line="360" w:lineRule="auto"/>
      <w:ind w:firstLine="200" w:firstLineChars="200"/>
      <w:jc w:val="both"/>
    </w:pPr>
    <w:rPr>
      <w:rFonts w:ascii="Times New Roman" w:hAnsi="Times New Roman" w:eastAsia="宋体" w:cs="Times New Roman"/>
      <w:bCs/>
      <w:kern w:val="2"/>
      <w:sz w:val="28"/>
      <w:szCs w:val="28"/>
      <w:lang w:val="en-US" w:eastAsia="zh-CN" w:bidi="ar-SA"/>
    </w:rPr>
  </w:style>
  <w:style w:type="paragraph" w:customStyle="1" w:styleId="15">
    <w:name w:val="标2"/>
    <w:qFormat/>
    <w:uiPriority w:val="0"/>
    <w:pPr>
      <w:widowControl w:val="0"/>
      <w:wordWrap w:val="0"/>
      <w:adjustRightInd/>
      <w:snapToGrid/>
      <w:spacing w:line="240" w:lineRule="auto"/>
      <w:ind w:firstLine="200" w:firstLineChars="200"/>
      <w:jc w:val="both"/>
      <w:outlineLvl w:val="1"/>
    </w:pPr>
    <w:rPr>
      <w:rFonts w:ascii="Times New Roman" w:hAnsi="宋体" w:eastAsia="宋体" w:cs="Times New Roman"/>
      <w:b/>
      <w:bCs/>
      <w:snapToGrid w:val="0"/>
      <w:color w:val="000000"/>
      <w:kern w:val="2"/>
      <w:sz w:val="28"/>
      <w:szCs w:val="28"/>
      <w:lang w:val="en-US" w:eastAsia="zh-CN" w:bidi="ar-SA"/>
    </w:rPr>
  </w:style>
  <w:style w:type="paragraph" w:customStyle="1" w:styleId="16">
    <w:name w:val="内1"/>
    <w:qFormat/>
    <w:uiPriority w:val="0"/>
    <w:pPr>
      <w:widowControl w:val="0"/>
      <w:adjustRightInd w:val="0"/>
      <w:snapToGrid w:val="0"/>
      <w:spacing w:after="120" w:line="360" w:lineRule="auto"/>
      <w:ind w:firstLine="200" w:firstLineChars="200"/>
      <w:jc w:val="both"/>
    </w:pPr>
    <w:rPr>
      <w:rFonts w:ascii="Times New Roman" w:hAnsi="宋体" w:eastAsia="宋体" w:cs="Times New Roman"/>
      <w:bCs/>
      <w:kern w:val="2"/>
      <w:sz w:val="28"/>
      <w:szCs w:val="28"/>
      <w:lang w:val="en-US" w:eastAsia="zh-CN" w:bidi="ar-SA"/>
    </w:rPr>
  </w:style>
  <w:style w:type="paragraph" w:customStyle="1" w:styleId="17">
    <w:name w:val="w内容"/>
    <w:qFormat/>
    <w:uiPriority w:val="0"/>
    <w:pPr>
      <w:widowControl w:val="0"/>
      <w:adjustRightInd w:val="0"/>
      <w:snapToGrid w:val="0"/>
      <w:spacing w:line="360" w:lineRule="auto"/>
      <w:ind w:firstLine="200" w:firstLineChars="200"/>
      <w:jc w:val="both"/>
    </w:pPr>
    <w:rPr>
      <w:rFonts w:ascii="Calibri" w:hAnsi="Times New Roman" w:eastAsia="宋体" w:cs="Times New Roman"/>
      <w:kern w:val="28"/>
      <w:sz w:val="28"/>
      <w:szCs w:val="28"/>
      <w:lang w:val="en-US" w:eastAsia="zh-CN" w:bidi="ar-SA"/>
    </w:rPr>
  </w:style>
  <w:style w:type="paragraph" w:customStyle="1" w:styleId="18">
    <w:name w:val="w一、"/>
    <w:qFormat/>
    <w:uiPriority w:val="0"/>
    <w:pPr>
      <w:outlineLvl w:val="1"/>
    </w:pPr>
    <w:rPr>
      <w:rFonts w:ascii="宋体" w:hAnsi="宋体" w:eastAsia="宋体" w:cs="Times New Roman"/>
      <w:b/>
      <w:bCs/>
      <w:snapToGrid w:val="0"/>
      <w:color w:val="000000"/>
      <w:sz w:val="28"/>
      <w:szCs w:val="44"/>
      <w:lang w:val="en-US" w:eastAsia="zh-CN" w:bidi="ar-SA"/>
    </w:rPr>
  </w:style>
  <w:style w:type="character" w:customStyle="1" w:styleId="19">
    <w:name w:val="标题 2 字符"/>
    <w:link w:val="3"/>
    <w:qFormat/>
    <w:uiPriority w:val="99"/>
    <w:rPr>
      <w:rFonts w:hAnsi="Calibri Light"/>
      <w:b/>
      <w:bCs/>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3060</Words>
  <Characters>3656</Characters>
  <Lines>1</Lines>
  <Paragraphs>1</Paragraphs>
  <TotalTime>1</TotalTime>
  <ScaleCrop>false</ScaleCrop>
  <LinksUpToDate>false</LinksUpToDate>
  <CharactersWithSpaces>3807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2025-09-05T07:31:00Z</dcterms:created>
  <dc:creator>倪翔</dc:creator>
  <cp:lastModifiedBy>夏日成风</cp:lastModifiedBy>
  <dcterms:modified xsi:type="dcterms:W3CDTF">2026-04-21T08:29:27Z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eyJoZGlkIjoiZGMyYWVhOGM1OWQwMDhiM2ZjYjI1OTAwMWFiMWViY2MiLCJ1c2VySWQiOiI0MjM0Mzk3OTYifQ==</vt:lpwstr>
  </property>
  <property fmtid="{D5CDD505-2E9C-101B-9397-08002B2CF9AE}" pid="3" name="KSOProductBuildVer">
    <vt:lpwstr>2052-12.1.0.25865</vt:lpwstr>
  </property>
  <property fmtid="{D5CDD505-2E9C-101B-9397-08002B2CF9AE}" pid="4" name="ICV">
    <vt:lpwstr>39B3F478779B4735AE3F917D2D91C1C5_12</vt:lpwstr>
  </property>
</Properties>
</file>